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A78D0C">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方正黑体_GBK" w:hAnsi="方正黑体_GBK" w:eastAsia="方正黑体_GBK" w:cs="方正黑体_GBK"/>
          <w:sz w:val="28"/>
          <w:szCs w:val="28"/>
          <w:lang w:val="en-US" w:eastAsia="zh-CN"/>
        </w:rPr>
      </w:pPr>
      <w:r>
        <w:rPr>
          <w:rFonts w:hint="eastAsia" w:ascii="方正黑体_GBK" w:hAnsi="方正黑体_GBK" w:eastAsia="方正黑体_GBK" w:cs="方正黑体_GBK"/>
          <w:sz w:val="28"/>
          <w:szCs w:val="28"/>
          <w:lang w:val="en-US" w:eastAsia="zh-CN"/>
        </w:rPr>
        <w:t>附件</w:t>
      </w:r>
    </w:p>
    <w:p w14:paraId="21510CD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Regular" w:hAnsi="Times New Roman Regular" w:eastAsia="方正小标宋_GBK" w:cs="Times New Roman Regular"/>
          <w:b w:val="0"/>
          <w:bCs w:val="0"/>
          <w:color w:val="000000"/>
          <w:sz w:val="44"/>
          <w:szCs w:val="44"/>
          <w:highlight w:val="none"/>
          <w:lang w:val="en-US" w:eastAsia="zh-CN"/>
        </w:rPr>
      </w:pPr>
      <w:r>
        <w:rPr>
          <w:rFonts w:hint="default" w:ascii="Times New Roman Regular" w:hAnsi="Times New Roman Regular" w:eastAsia="方正小标宋_GBK" w:cs="Times New Roman Regular"/>
          <w:b w:val="0"/>
          <w:bCs w:val="0"/>
          <w:color w:val="000000"/>
          <w:sz w:val="44"/>
          <w:szCs w:val="44"/>
          <w:highlight w:val="none"/>
          <w:lang w:val="en-US" w:eastAsia="zh-CN"/>
        </w:rPr>
        <w:t>2026年临港新片区决策咨询研究课题</w:t>
      </w:r>
    </w:p>
    <w:p w14:paraId="17E9B73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Regular" w:hAnsi="Times New Roman Regular" w:eastAsia="方正小标宋_GBK" w:cs="Times New Roman Regular"/>
          <w:b w:val="0"/>
          <w:bCs w:val="0"/>
          <w:color w:val="000000"/>
          <w:sz w:val="44"/>
          <w:szCs w:val="44"/>
          <w:highlight w:val="none"/>
          <w:lang w:val="en-US" w:eastAsia="zh-CN"/>
        </w:rPr>
      </w:pPr>
      <w:r>
        <w:rPr>
          <w:rFonts w:hint="default" w:ascii="Times New Roman Regular" w:hAnsi="Times New Roman Regular" w:eastAsia="方正小标宋_GBK" w:cs="Times New Roman Regular"/>
          <w:b w:val="0"/>
          <w:bCs w:val="0"/>
          <w:color w:val="000000"/>
          <w:sz w:val="44"/>
          <w:szCs w:val="44"/>
          <w:highlight w:val="none"/>
          <w:lang w:val="en-US" w:eastAsia="zh-CN"/>
        </w:rPr>
        <w:t>研究指南（第一批）</w:t>
      </w:r>
    </w:p>
    <w:p w14:paraId="23835AB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p>
    <w:p w14:paraId="2B74E350">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一、关于促进临港新片区高质量发展的新一轮政策举措研究</w:t>
      </w:r>
    </w:p>
    <w:p w14:paraId="558F8FB4">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为深入落实国家自贸试验区提升战略，</w:t>
      </w:r>
      <w:r>
        <w:rPr>
          <w:rFonts w:hint="eastAsia" w:ascii="Times New Roman Regular" w:hAnsi="Times New Roman Regular" w:eastAsia="方正仿宋_GBK" w:cs="Times New Roman Regular"/>
          <w:b w:val="0"/>
          <w:bCs w:val="0"/>
          <w:color w:val="000000"/>
          <w:sz w:val="36"/>
          <w:szCs w:val="36"/>
          <w:highlight w:val="none"/>
          <w:lang w:val="en-US" w:eastAsia="zh-CN"/>
        </w:rPr>
        <w:t>在“1+N+X”政策框架下积极争取研究制定临港新片区的专项提升方案，</w:t>
      </w:r>
      <w:bookmarkStart w:id="0" w:name="_GoBack"/>
      <w:bookmarkEnd w:id="0"/>
      <w:r>
        <w:rPr>
          <w:rFonts w:hint="default" w:ascii="Times New Roman Regular" w:hAnsi="Times New Roman Regular" w:eastAsia="方正仿宋_GBK" w:cs="Times New Roman Regular"/>
          <w:b w:val="0"/>
          <w:bCs w:val="0"/>
          <w:color w:val="000000"/>
          <w:sz w:val="36"/>
          <w:szCs w:val="36"/>
          <w:highlight w:val="none"/>
          <w:lang w:val="en-US" w:eastAsia="zh-CN"/>
        </w:rPr>
        <w:t>研究促进临港新片区高质量发展的政策举措，助力临港新片区专项提升方案的制定和出台。本课题旨在研究提出适配临港产业特色的政策工具箱，为新片区冲刺更高水平开放形态、塑造高质量发展新优势提供决策支撑与实操指引。</w:t>
      </w:r>
    </w:p>
    <w:p w14:paraId="03D16CBF">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二、临港新片区加快建设国际航运绿色燃料加注中心路径研究</w:t>
      </w:r>
    </w:p>
    <w:p w14:paraId="3859FE16">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临港新片区凭借洋山深水港资源与制度型开放红利，已率先落地绿色甲醇、保税LNG等创新加注业务，具备构建全链条加注服务体系的坚实基础。根据2026年2月交通运输部等十部委联合印发的《关于支持上海国际航运绿色燃料加注中心和交易中心建设的实施方案》，上海港要在2030年达到绿色燃料加注能力“双一百”的目标（保税LNG加注能力达到百万立方米级，甲醇及生物燃料等绿色燃料加注能力达到百万吨级），同时为深入落实上海市“十五五”规划关于“加快建设国际航运绿色燃料加注中心和交易中心”的部署，本</w:t>
      </w:r>
      <w:r>
        <w:rPr>
          <w:rFonts w:hint="eastAsia" w:ascii="Times New Roman Regular" w:hAnsi="Times New Roman Regular" w:eastAsia="方正仿宋_GBK" w:cs="Times New Roman Regular"/>
          <w:b w:val="0"/>
          <w:bCs w:val="0"/>
          <w:color w:val="000000"/>
          <w:sz w:val="36"/>
          <w:szCs w:val="36"/>
          <w:highlight w:val="none"/>
          <w:lang w:val="en-US" w:eastAsia="zh-CN"/>
        </w:rPr>
        <w:t>课题</w:t>
      </w:r>
      <w:r>
        <w:rPr>
          <w:rFonts w:hint="default" w:ascii="Times New Roman Regular" w:hAnsi="Times New Roman Regular" w:eastAsia="方正仿宋_GBK" w:cs="Times New Roman Regular"/>
          <w:b w:val="0"/>
          <w:bCs w:val="0"/>
          <w:color w:val="000000"/>
          <w:sz w:val="36"/>
          <w:szCs w:val="36"/>
          <w:highlight w:val="none"/>
          <w:lang w:val="en-US" w:eastAsia="zh-CN"/>
        </w:rPr>
        <w:t>旨在研究提出建设国际航运绿色燃料加注中心的具体路径与制度创新方案，助力上海建成绿色燃料交易中心，抢占全球航运能源变革先机，打造高能级航运服务新标杆。</w:t>
      </w:r>
    </w:p>
    <w:p w14:paraId="2C60E995">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三、临港新片区打造服务产业发展的离岸金融（经济）功能区研究</w:t>
      </w:r>
    </w:p>
    <w:p w14:paraId="434265DF">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站在“十五五”新起点，上海明确，在临港新片区和东方枢纽国际商务合作区探索打造离岸金融（经济）功能区，支持在功能区试点开展离岸金融业务。临港新片区聚焦离岸贸易、非居民并购贷款、跨国公司财资中心、离岸租赁、国际再保险、跨境融资等核心业务场景，加快构建与国际高标准规则相衔接的离岸金融生态，实现与东方枢纽国际商务合作区的错位发展、协同发力，共同提升上海全球资源配置能力。</w:t>
      </w:r>
      <w:r>
        <w:rPr>
          <w:rFonts w:hint="eastAsia" w:ascii="Times New Roman Regular" w:hAnsi="Times New Roman Regular" w:eastAsia="方正仿宋_GBK" w:cs="Times New Roman Regular"/>
          <w:b w:val="0"/>
          <w:bCs w:val="0"/>
          <w:color w:val="000000"/>
          <w:sz w:val="36"/>
          <w:szCs w:val="36"/>
          <w:highlight w:val="none"/>
          <w:lang w:val="en-US" w:eastAsia="zh-CN"/>
        </w:rPr>
        <w:t>基于此，</w:t>
      </w:r>
      <w:r>
        <w:rPr>
          <w:rFonts w:hint="default" w:ascii="Times New Roman Regular" w:hAnsi="Times New Roman Regular" w:eastAsia="方正仿宋_GBK" w:cs="Times New Roman Regular"/>
          <w:b w:val="0"/>
          <w:bCs w:val="0"/>
          <w:color w:val="000000"/>
          <w:sz w:val="36"/>
          <w:szCs w:val="36"/>
          <w:highlight w:val="none"/>
          <w:lang w:val="en-US" w:eastAsia="zh-CN"/>
        </w:rPr>
        <w:t>本</w:t>
      </w:r>
      <w:r>
        <w:rPr>
          <w:rFonts w:hint="eastAsia" w:ascii="Times New Roman Regular" w:hAnsi="Times New Roman Regular" w:eastAsia="方正仿宋_GBK" w:cs="Times New Roman Regular"/>
          <w:b w:val="0"/>
          <w:bCs w:val="0"/>
          <w:color w:val="000000"/>
          <w:sz w:val="36"/>
          <w:szCs w:val="36"/>
          <w:highlight w:val="none"/>
          <w:lang w:val="en-US" w:eastAsia="zh-CN"/>
        </w:rPr>
        <w:t>课题将</w:t>
      </w:r>
      <w:r>
        <w:rPr>
          <w:rFonts w:hint="default" w:ascii="Times New Roman Regular" w:hAnsi="Times New Roman Regular" w:eastAsia="方正仿宋_GBK" w:cs="Times New Roman Regular"/>
          <w:b w:val="0"/>
          <w:bCs w:val="0"/>
          <w:color w:val="000000"/>
          <w:sz w:val="36"/>
          <w:szCs w:val="36"/>
          <w:highlight w:val="none"/>
          <w:lang w:val="en-US" w:eastAsia="zh-CN"/>
        </w:rPr>
        <w:t>重点研究相关业务推进路径与落地保障，明确临港与东方枢纽错位发展定位，依托临港优势完善业务体系，为其打造服务产业发展的离岸金融</w:t>
      </w:r>
      <w:r>
        <w:rPr>
          <w:rFonts w:hint="eastAsia" w:ascii="Times New Roman Regular" w:hAnsi="Times New Roman Regular" w:eastAsia="方正仿宋_GBK" w:cs="Times New Roman Regular"/>
          <w:b w:val="0"/>
          <w:bCs w:val="0"/>
          <w:color w:val="000000"/>
          <w:sz w:val="36"/>
          <w:szCs w:val="36"/>
          <w:highlight w:val="none"/>
          <w:lang w:val="en-US" w:eastAsia="zh-CN"/>
        </w:rPr>
        <w:t>（经济）</w:t>
      </w:r>
      <w:r>
        <w:rPr>
          <w:rFonts w:hint="default" w:ascii="Times New Roman Regular" w:hAnsi="Times New Roman Regular" w:eastAsia="方正仿宋_GBK" w:cs="Times New Roman Regular"/>
          <w:b w:val="0"/>
          <w:bCs w:val="0"/>
          <w:color w:val="000000"/>
          <w:sz w:val="36"/>
          <w:szCs w:val="36"/>
          <w:highlight w:val="none"/>
          <w:lang w:val="en-US" w:eastAsia="zh-CN"/>
        </w:rPr>
        <w:t>功能区提供理论与实践支撑。</w:t>
      </w:r>
    </w:p>
    <w:p w14:paraId="05662C26">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四、中国企业“走出去”反哺国内产业升级的机制与路径研究</w:t>
      </w:r>
    </w:p>
    <w:p w14:paraId="23E67416">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当前，中国企业“走出去”步伐显著加快，对外直接投资持续攀升。截至2025年底，我国在境外设立企业已超过5万家，对外直接投资超1700亿美元，从单点布局向产业链集群式出海转变，企业全球化布局已成为不可逆转的趋势。然而，伴随这一进程，社会各界对“产业空心化”“资金外流”“就业替代”等风险的顾虑也日益凸显。部分产业被动外迁可能削弱国内产业链韧性，跨境资金流动风险上升亦对金融安全构成挑战。如何在鼓励企业全球化布局的同时，构建有效的反哺机制，确保海外发展成果回流国内、服务产业升级，成为亟待破解的现实课题。本课题拟梳理研究日本及欧美跨国企业“海外扩张反哺母国”的典型经验，深入探究中国企业“走出去”反哺国内产业升级的内在机制与实践路径，旨在为临港新片区更好推动企业“走出去”“引进来”提供决策参考，为企业优化全球化布局提供实践参考，推动高水平对外开放与国内高质量发展实现良性互动、协同共进。</w:t>
      </w:r>
    </w:p>
    <w:p w14:paraId="232AF25E">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p>
    <w:p w14:paraId="3267A778">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五、“数字综保区”赋能洋山特综区贸易自由化便利化的监管机制创新与实现路径研究</w:t>
      </w:r>
    </w:p>
    <w:p w14:paraId="44576142">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洋山特殊综合保税区是我国唯一的特殊综合保税区，首创以“一线径予放行、二线单侧申报”为标志的“六特”海关监管模式，在贸易自由化便利化方面走在全国海关特殊监管区域前列。过去5年，洋山特综区进出口额年复合增长率超20%，特别是2025年增长率达59%，连续两年跻身全国综保区前五。2025年8月，临港新片区正式发布“数字综保区”平台，打造数智通关、数智监管、数智赋能、数智服务四大功能模块，旨在通过数字化手段实现“一体化管理服务”转型，进一步提升通关效率和投资贸易便利化水平。然而，当前“数字综保区”建设虽取得阶段性成效，但在跨部门数据共享机制、企业风险和信用评价体系完善、协同监管效能评估等方面仍存在待突破的堵点，监管机制创新的系统性与协同性有待深化。本课题拟系统剖析“数字综保区”监管机制创新的内在逻辑与优化路径，为持续提升洋山特综区贸易自由化便利化水平提供理论支撑与实践参考。</w:t>
      </w:r>
    </w:p>
    <w:p w14:paraId="74992548">
      <w:pPr>
        <w:keepNext w:val="0"/>
        <w:keepLines w:val="0"/>
        <w:pageBreakBefore w:val="0"/>
        <w:widowControl w:val="0"/>
        <w:kinsoku/>
        <w:wordWrap/>
        <w:overflowPunct/>
        <w:topLinePunct w:val="0"/>
        <w:autoSpaceDE/>
        <w:autoSpaceDN/>
        <w:bidi w:val="0"/>
        <w:adjustRightInd/>
        <w:snapToGrid/>
        <w:spacing w:line="600" w:lineRule="exact"/>
        <w:ind w:firstLine="720" w:firstLineChars="200"/>
        <w:textAlignment w:val="auto"/>
        <w:rPr>
          <w:rFonts w:hint="default" w:ascii="Times New Roman Regular" w:hAnsi="Times New Roman Regular" w:eastAsia="方正黑体_GBK" w:cs="Times New Roman Regular"/>
          <w:b w:val="0"/>
          <w:bCs w:val="0"/>
          <w:color w:val="000000"/>
          <w:sz w:val="36"/>
          <w:szCs w:val="36"/>
          <w:highlight w:val="none"/>
          <w:lang w:val="en-US" w:eastAsia="zh-CN"/>
        </w:rPr>
      </w:pPr>
      <w:r>
        <w:rPr>
          <w:rFonts w:hint="default" w:ascii="Times New Roman Regular" w:hAnsi="Times New Roman Regular" w:eastAsia="方正黑体_GBK" w:cs="Times New Roman Regular"/>
          <w:b w:val="0"/>
          <w:bCs w:val="0"/>
          <w:color w:val="000000"/>
          <w:sz w:val="36"/>
          <w:szCs w:val="36"/>
          <w:highlight w:val="none"/>
          <w:lang w:val="en-US" w:eastAsia="zh-CN"/>
        </w:rPr>
        <w:t>六、临港新片区加快打造数字文化产业出海首选地研究</w:t>
      </w:r>
    </w:p>
    <w:p w14:paraId="0B5FE17D">
      <w:pPr>
        <w:keepNext w:val="0"/>
        <w:keepLines w:val="0"/>
        <w:pageBreakBefore w:val="0"/>
        <w:widowControl w:val="0"/>
        <w:kinsoku/>
        <w:wordWrap/>
        <w:overflowPunct/>
        <w:topLinePunct w:val="0"/>
        <w:autoSpaceDE/>
        <w:autoSpaceDN/>
        <w:bidi w:val="0"/>
        <w:adjustRightInd/>
        <w:snapToGrid/>
        <w:spacing w:line="600" w:lineRule="exact"/>
        <w:ind w:firstLine="723" w:firstLineChars="200"/>
        <w:textAlignment w:val="auto"/>
        <w:rPr>
          <w:rFonts w:hint="default" w:ascii="Times New Roman Regular" w:hAnsi="Times New Roman Regular" w:eastAsia="方正仿宋_GBK" w:cs="Times New Roman Regular"/>
          <w:b w:val="0"/>
          <w:bCs w:val="0"/>
          <w:color w:val="000000"/>
          <w:sz w:val="36"/>
          <w:szCs w:val="36"/>
          <w:highlight w:val="none"/>
          <w:lang w:val="en-US" w:eastAsia="zh-CN"/>
        </w:rPr>
        <w:sectPr>
          <w:footerReference r:id="rId3" w:type="default"/>
          <w:pgSz w:w="11906" w:h="16838"/>
          <w:pgMar w:top="2098" w:right="1587" w:bottom="1984" w:left="1587" w:header="851" w:footer="992" w:gutter="0"/>
          <w:pgNumType w:fmt="decimal"/>
          <w:cols w:space="0" w:num="1"/>
          <w:rtlGutter w:val="0"/>
          <w:docGrid w:type="lines" w:linePitch="312" w:charSpace="0"/>
        </w:sectPr>
      </w:pPr>
      <w:r>
        <w:rPr>
          <w:rFonts w:hint="default" w:ascii="Times New Roman Regular" w:hAnsi="Times New Roman Regular" w:eastAsia="方正仿宋_GBK" w:cs="Times New Roman Regular"/>
          <w:b/>
          <w:bCs/>
          <w:color w:val="000000"/>
          <w:sz w:val="36"/>
          <w:szCs w:val="36"/>
          <w:highlight w:val="none"/>
          <w:lang w:val="en-US" w:eastAsia="zh-CN"/>
        </w:rPr>
        <w:t>研究背景与要求：</w:t>
      </w:r>
      <w:r>
        <w:rPr>
          <w:rFonts w:hint="default" w:ascii="Times New Roman Regular" w:hAnsi="Times New Roman Regular" w:eastAsia="方正仿宋_GBK" w:cs="Times New Roman Regular"/>
          <w:b w:val="0"/>
          <w:bCs w:val="0"/>
          <w:color w:val="000000"/>
          <w:sz w:val="36"/>
          <w:szCs w:val="36"/>
          <w:highlight w:val="none"/>
          <w:lang w:val="en-US" w:eastAsia="zh-CN"/>
        </w:rPr>
        <w:t>当前数字经济已成为</w:t>
      </w:r>
      <w:r>
        <w:rPr>
          <w:rFonts w:hint="eastAsia" w:ascii="Times New Roman Regular" w:hAnsi="Times New Roman Regular" w:eastAsia="方正仿宋_GBK" w:cs="Times New Roman Regular"/>
          <w:b w:val="0"/>
          <w:bCs w:val="0"/>
          <w:color w:val="000000"/>
          <w:sz w:val="36"/>
          <w:szCs w:val="36"/>
          <w:highlight w:val="none"/>
          <w:lang w:val="en-US" w:eastAsia="zh-CN"/>
        </w:rPr>
        <w:t>社会经济</w:t>
      </w:r>
      <w:r>
        <w:rPr>
          <w:rFonts w:hint="default" w:ascii="Times New Roman Regular" w:hAnsi="Times New Roman Regular" w:eastAsia="方正仿宋_GBK" w:cs="Times New Roman Regular"/>
          <w:b w:val="0"/>
          <w:bCs w:val="0"/>
          <w:color w:val="000000"/>
          <w:sz w:val="36"/>
          <w:szCs w:val="36"/>
          <w:highlight w:val="none"/>
          <w:lang w:val="en-US" w:eastAsia="zh-CN"/>
        </w:rPr>
        <w:t>高质量发展</w:t>
      </w:r>
      <w:r>
        <w:rPr>
          <w:rFonts w:hint="eastAsia" w:ascii="Times New Roman Regular" w:hAnsi="Times New Roman Regular" w:eastAsia="方正仿宋_GBK" w:cs="Times New Roman Regular"/>
          <w:b w:val="0"/>
          <w:bCs w:val="0"/>
          <w:color w:val="000000"/>
          <w:sz w:val="36"/>
          <w:szCs w:val="36"/>
          <w:highlight w:val="none"/>
          <w:lang w:val="en-US" w:eastAsia="zh-CN"/>
        </w:rPr>
        <w:t>的</w:t>
      </w:r>
      <w:r>
        <w:rPr>
          <w:rFonts w:hint="default" w:ascii="Times New Roman Regular" w:hAnsi="Times New Roman Regular" w:eastAsia="方正仿宋_GBK" w:cs="Times New Roman Regular"/>
          <w:b w:val="0"/>
          <w:bCs w:val="0"/>
          <w:color w:val="000000"/>
          <w:sz w:val="36"/>
          <w:szCs w:val="36"/>
          <w:highlight w:val="none"/>
          <w:lang w:val="en-US" w:eastAsia="zh-CN"/>
        </w:rPr>
        <w:t>重要支柱，我国数字文化出海规模持续扩大，数字游民、创客活力迸发，为临港新片区发挥制度型开放优势提供重大机遇。数字文化出海作为文化贸易的重要形式，是服务贸易自由化便利化的关键内容，也是临港</w:t>
      </w:r>
      <w:r>
        <w:rPr>
          <w:rFonts w:hint="eastAsia" w:ascii="Times New Roman Regular" w:hAnsi="Times New Roman Regular" w:eastAsia="方正仿宋_GBK" w:cs="Times New Roman Regular"/>
          <w:b w:val="0"/>
          <w:bCs w:val="0"/>
          <w:color w:val="000000"/>
          <w:sz w:val="36"/>
          <w:szCs w:val="36"/>
          <w:highlight w:val="none"/>
          <w:lang w:val="en-US" w:eastAsia="zh-CN"/>
        </w:rPr>
        <w:t>新片区</w:t>
      </w:r>
      <w:r>
        <w:rPr>
          <w:rFonts w:hint="default" w:ascii="Times New Roman Regular" w:hAnsi="Times New Roman Regular" w:eastAsia="方正仿宋_GBK" w:cs="Times New Roman Regular"/>
          <w:b w:val="0"/>
          <w:bCs w:val="0"/>
          <w:color w:val="000000"/>
          <w:sz w:val="36"/>
          <w:szCs w:val="36"/>
          <w:highlight w:val="none"/>
          <w:lang w:val="en-US" w:eastAsia="zh-CN"/>
        </w:rPr>
        <w:t>导入产业、集聚人</w:t>
      </w:r>
      <w:r>
        <w:rPr>
          <w:rFonts w:hint="eastAsia" w:ascii="Times New Roman Regular" w:hAnsi="Times New Roman Regular" w:eastAsia="方正仿宋_GBK" w:cs="Times New Roman Regular"/>
          <w:b w:val="0"/>
          <w:bCs w:val="0"/>
          <w:color w:val="000000"/>
          <w:sz w:val="36"/>
          <w:szCs w:val="36"/>
          <w:highlight w:val="none"/>
          <w:lang w:val="en-US" w:eastAsia="zh-CN"/>
        </w:rPr>
        <w:t>才</w:t>
      </w:r>
      <w:r>
        <w:rPr>
          <w:rFonts w:hint="default" w:ascii="Times New Roman Regular" w:hAnsi="Times New Roman Regular" w:eastAsia="方正仿宋_GBK" w:cs="Times New Roman Regular"/>
          <w:b w:val="0"/>
          <w:bCs w:val="0"/>
          <w:color w:val="000000"/>
          <w:sz w:val="36"/>
          <w:szCs w:val="36"/>
          <w:highlight w:val="none"/>
          <w:lang w:val="en-US" w:eastAsia="zh-CN"/>
        </w:rPr>
        <w:t>的重要抓手。本课题</w:t>
      </w:r>
      <w:r>
        <w:rPr>
          <w:rFonts w:hint="eastAsia" w:ascii="Times New Roman Regular" w:hAnsi="Times New Roman Regular" w:eastAsia="方正仿宋_GBK" w:cs="Times New Roman Regular"/>
          <w:b w:val="0"/>
          <w:bCs w:val="0"/>
          <w:color w:val="000000"/>
          <w:sz w:val="36"/>
          <w:szCs w:val="36"/>
          <w:highlight w:val="none"/>
          <w:lang w:val="en-US" w:eastAsia="zh-CN"/>
        </w:rPr>
        <w:t>旨在研究如何</w:t>
      </w:r>
      <w:r>
        <w:rPr>
          <w:rFonts w:hint="default" w:ascii="Times New Roman Regular" w:hAnsi="Times New Roman Regular" w:eastAsia="方正仿宋_GBK" w:cs="Times New Roman Regular"/>
          <w:b w:val="0"/>
          <w:bCs w:val="0"/>
          <w:color w:val="000000"/>
          <w:sz w:val="36"/>
          <w:szCs w:val="36"/>
          <w:highlight w:val="none"/>
          <w:lang w:val="en-US" w:eastAsia="zh-CN"/>
        </w:rPr>
        <w:t>依托临港</w:t>
      </w:r>
      <w:r>
        <w:rPr>
          <w:rFonts w:hint="eastAsia" w:ascii="Times New Roman Regular" w:hAnsi="Times New Roman Regular" w:eastAsia="方正仿宋_GBK" w:cs="Times New Roman Regular"/>
          <w:b w:val="0"/>
          <w:bCs w:val="0"/>
          <w:color w:val="000000"/>
          <w:sz w:val="36"/>
          <w:szCs w:val="36"/>
          <w:highlight w:val="none"/>
          <w:lang w:val="en-US" w:eastAsia="zh-CN"/>
        </w:rPr>
        <w:t>新片区</w:t>
      </w:r>
      <w:r>
        <w:rPr>
          <w:rFonts w:hint="default" w:ascii="Times New Roman Regular" w:hAnsi="Times New Roman Regular" w:eastAsia="方正仿宋_GBK" w:cs="Times New Roman Regular"/>
          <w:b w:val="0"/>
          <w:bCs w:val="0"/>
          <w:color w:val="000000"/>
          <w:sz w:val="36"/>
          <w:szCs w:val="36"/>
          <w:highlight w:val="none"/>
          <w:lang w:val="en-US" w:eastAsia="zh-CN"/>
        </w:rPr>
        <w:t>“五自由一便利”、数据跨境流动“负面清单+操作指引”等制度创新</w:t>
      </w:r>
      <w:r>
        <w:rPr>
          <w:rFonts w:hint="eastAsia" w:ascii="Times New Roman Regular" w:hAnsi="Times New Roman Regular" w:eastAsia="方正仿宋_GBK" w:cs="Times New Roman Regular"/>
          <w:b w:val="0"/>
          <w:bCs w:val="0"/>
          <w:color w:val="000000"/>
          <w:sz w:val="36"/>
          <w:szCs w:val="36"/>
          <w:highlight w:val="none"/>
          <w:lang w:val="en-US" w:eastAsia="zh-CN"/>
        </w:rPr>
        <w:t>优势</w:t>
      </w:r>
      <w:r>
        <w:rPr>
          <w:rFonts w:hint="default" w:ascii="Times New Roman Regular" w:hAnsi="Times New Roman Regular" w:eastAsia="方正仿宋_GBK" w:cs="Times New Roman Regular"/>
          <w:b w:val="0"/>
          <w:bCs w:val="0"/>
          <w:color w:val="000000"/>
          <w:sz w:val="36"/>
          <w:szCs w:val="36"/>
          <w:highlight w:val="none"/>
          <w:lang w:val="en-US" w:eastAsia="zh-CN"/>
        </w:rPr>
        <w:t>，转化</w:t>
      </w:r>
      <w:r>
        <w:rPr>
          <w:rFonts w:hint="eastAsia" w:ascii="Times New Roman Regular" w:hAnsi="Times New Roman Regular" w:eastAsia="方正仿宋_GBK" w:cs="Times New Roman Regular"/>
          <w:b w:val="0"/>
          <w:bCs w:val="0"/>
          <w:color w:val="000000"/>
          <w:sz w:val="36"/>
          <w:szCs w:val="36"/>
          <w:highlight w:val="none"/>
          <w:lang w:val="en-US" w:eastAsia="zh-CN"/>
        </w:rPr>
        <w:t>为</w:t>
      </w:r>
      <w:r>
        <w:rPr>
          <w:rFonts w:hint="default" w:ascii="Times New Roman Regular" w:hAnsi="Times New Roman Regular" w:eastAsia="方正仿宋_GBK" w:cs="Times New Roman Regular"/>
          <w:b w:val="0"/>
          <w:bCs w:val="0"/>
          <w:color w:val="000000"/>
          <w:sz w:val="36"/>
          <w:szCs w:val="36"/>
          <w:highlight w:val="none"/>
          <w:lang w:val="en-US" w:eastAsia="zh-CN"/>
        </w:rPr>
        <w:t>发展动能，解决数字企业出海痛点堵点，同时聚焦吸引出海数字企业落地，探索路径、提出对策，助力临港打造数字文化产业出海首选地</w:t>
      </w:r>
      <w:r>
        <w:rPr>
          <w:rFonts w:hint="eastAsia" w:ascii="Times New Roman Regular" w:hAnsi="Times New Roman Regular" w:eastAsia="方正仿宋_GBK" w:cs="Times New Roman Regular"/>
          <w:b w:val="0"/>
          <w:bCs w:val="0"/>
          <w:color w:val="000000"/>
          <w:sz w:val="36"/>
          <w:szCs w:val="36"/>
          <w:highlight w:val="none"/>
          <w:lang w:val="en-US" w:eastAsia="zh-CN"/>
        </w:rPr>
        <w:t>。</w:t>
      </w:r>
    </w:p>
    <w:p w14:paraId="346C847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Regular" w:hAnsi="Times New Roman Regular" w:eastAsia="方正小标宋_GBK" w:cs="Times New Roman Regular"/>
          <w:sz w:val="44"/>
          <w:szCs w:val="52"/>
        </w:rPr>
      </w:pPr>
      <w:r>
        <w:rPr>
          <w:rFonts w:hint="default" w:ascii="Times New Roman Regular" w:hAnsi="Times New Roman Regular" w:eastAsia="方正小标宋_GBK" w:cs="Times New Roman Regular"/>
          <w:sz w:val="44"/>
          <w:szCs w:val="52"/>
        </w:rPr>
        <w:t>202</w:t>
      </w:r>
      <w:r>
        <w:rPr>
          <w:rFonts w:hint="eastAsia" w:ascii="Times New Roman Regular" w:hAnsi="Times New Roman Regular" w:eastAsia="方正小标宋_GBK" w:cs="Times New Roman Regular"/>
          <w:sz w:val="44"/>
          <w:szCs w:val="52"/>
          <w:lang w:val="en-US" w:eastAsia="zh-CN"/>
        </w:rPr>
        <w:t>6</w:t>
      </w:r>
      <w:r>
        <w:rPr>
          <w:rFonts w:hint="default" w:ascii="Times New Roman Regular" w:hAnsi="Times New Roman Regular" w:eastAsia="方正小标宋_GBK" w:cs="Times New Roman Regular"/>
          <w:sz w:val="44"/>
          <w:szCs w:val="52"/>
        </w:rPr>
        <w:t>年临港新片区决策咨询课题申请表</w:t>
      </w:r>
    </w:p>
    <w:tbl>
      <w:tblPr>
        <w:tblStyle w:val="4"/>
        <w:tblpPr w:leftFromText="180" w:rightFromText="180" w:vertAnchor="text" w:horzAnchor="page" w:tblpX="1316" w:tblpY="592"/>
        <w:tblOverlap w:val="never"/>
        <w:tblW w:w="9494" w:type="dxa"/>
        <w:tblInd w:w="0" w:type="dxa"/>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shd w:val="clear" w:color="auto" w:fill="auto"/>
        <w:tblLayout w:type="fixed"/>
        <w:tblCellMar>
          <w:top w:w="0" w:type="dxa"/>
          <w:left w:w="108" w:type="dxa"/>
          <w:bottom w:w="0" w:type="dxa"/>
          <w:right w:w="108" w:type="dxa"/>
        </w:tblCellMar>
      </w:tblPr>
      <w:tblGrid>
        <w:gridCol w:w="1851"/>
        <w:gridCol w:w="1200"/>
        <w:gridCol w:w="1360"/>
        <w:gridCol w:w="866"/>
        <w:gridCol w:w="1322"/>
        <w:gridCol w:w="572"/>
        <w:gridCol w:w="965"/>
        <w:gridCol w:w="1358"/>
      </w:tblGrid>
      <w:tr w14:paraId="452442C2">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shd w:val="clear" w:color="auto" w:fill="auto"/>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089ED2F0">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申请人</w:t>
            </w:r>
          </w:p>
        </w:tc>
        <w:tc>
          <w:tcPr>
            <w:tcW w:w="1200" w:type="dxa"/>
            <w:tcBorders>
              <w:tl2br w:val="nil"/>
              <w:tr2bl w:val="nil"/>
            </w:tcBorders>
            <w:shd w:val="clear" w:color="auto" w:fill="auto"/>
            <w:noWrap/>
            <w:vAlign w:val="center"/>
          </w:tcPr>
          <w:p w14:paraId="622B3AC4">
            <w:pPr>
              <w:rPr>
                <w:rFonts w:hint="eastAsia" w:ascii="方正仿宋_GBK" w:hAnsi="方正仿宋_GBK" w:eastAsia="方正仿宋_GBK" w:cs="方正仿宋_GBK"/>
                <w:i w:val="0"/>
                <w:iCs w:val="0"/>
                <w:color w:val="000000"/>
                <w:sz w:val="32"/>
                <w:szCs w:val="32"/>
                <w:u w:val="none"/>
              </w:rPr>
            </w:pPr>
          </w:p>
        </w:tc>
        <w:tc>
          <w:tcPr>
            <w:tcW w:w="2226" w:type="dxa"/>
            <w:gridSpan w:val="2"/>
            <w:tcBorders>
              <w:tl2br w:val="nil"/>
              <w:tr2bl w:val="nil"/>
            </w:tcBorders>
            <w:shd w:val="clear" w:color="auto" w:fill="auto"/>
            <w:noWrap/>
            <w:vAlign w:val="center"/>
          </w:tcPr>
          <w:p w14:paraId="78BC0121">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证件号码</w:t>
            </w:r>
          </w:p>
        </w:tc>
        <w:tc>
          <w:tcPr>
            <w:tcW w:w="4217" w:type="dxa"/>
            <w:gridSpan w:val="4"/>
            <w:tcBorders>
              <w:tl2br w:val="nil"/>
              <w:tr2bl w:val="nil"/>
            </w:tcBorders>
            <w:shd w:val="clear" w:color="auto" w:fill="auto"/>
            <w:noWrap/>
            <w:vAlign w:val="center"/>
          </w:tcPr>
          <w:p w14:paraId="3F0007AE">
            <w:pPr>
              <w:jc w:val="center"/>
              <w:rPr>
                <w:rFonts w:hint="eastAsia" w:ascii="方正仿宋_GBK" w:hAnsi="方正仿宋_GBK" w:eastAsia="方正仿宋_GBK" w:cs="方正仿宋_GBK"/>
                <w:i w:val="0"/>
                <w:iCs w:val="0"/>
                <w:color w:val="000000"/>
                <w:sz w:val="32"/>
                <w:szCs w:val="32"/>
                <w:u w:val="none"/>
              </w:rPr>
            </w:pPr>
          </w:p>
        </w:tc>
      </w:tr>
      <w:tr w14:paraId="1FDFF7DF">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7F2E026E">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工作单位</w:t>
            </w:r>
          </w:p>
        </w:tc>
        <w:tc>
          <w:tcPr>
            <w:tcW w:w="4748" w:type="dxa"/>
            <w:gridSpan w:val="4"/>
            <w:tcBorders>
              <w:tl2br w:val="nil"/>
              <w:tr2bl w:val="nil"/>
            </w:tcBorders>
            <w:shd w:val="clear" w:color="auto" w:fill="auto"/>
            <w:noWrap/>
            <w:vAlign w:val="center"/>
          </w:tcPr>
          <w:p w14:paraId="03DE607F">
            <w:pPr>
              <w:jc w:val="center"/>
              <w:rPr>
                <w:rFonts w:hint="eastAsia" w:ascii="方正仿宋_GBK" w:hAnsi="方正仿宋_GBK" w:eastAsia="方正仿宋_GBK" w:cs="方正仿宋_GBK"/>
                <w:i w:val="0"/>
                <w:iCs w:val="0"/>
                <w:color w:val="000000"/>
                <w:sz w:val="32"/>
                <w:szCs w:val="32"/>
                <w:u w:val="none"/>
              </w:rPr>
            </w:pPr>
          </w:p>
        </w:tc>
        <w:tc>
          <w:tcPr>
            <w:tcW w:w="1537" w:type="dxa"/>
            <w:gridSpan w:val="2"/>
            <w:tcBorders>
              <w:tl2br w:val="nil"/>
              <w:tr2bl w:val="nil"/>
            </w:tcBorders>
            <w:shd w:val="clear" w:color="auto" w:fill="auto"/>
            <w:noWrap/>
            <w:vAlign w:val="center"/>
          </w:tcPr>
          <w:p w14:paraId="1D41AB5D">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所在部门</w:t>
            </w:r>
          </w:p>
        </w:tc>
        <w:tc>
          <w:tcPr>
            <w:tcW w:w="1358" w:type="dxa"/>
            <w:tcBorders>
              <w:tl2br w:val="nil"/>
              <w:tr2bl w:val="nil"/>
            </w:tcBorders>
            <w:shd w:val="clear" w:color="auto" w:fill="auto"/>
            <w:noWrap/>
            <w:vAlign w:val="center"/>
          </w:tcPr>
          <w:p w14:paraId="55FA123D">
            <w:pPr>
              <w:rPr>
                <w:rFonts w:hint="eastAsia" w:ascii="方正仿宋_GBK" w:hAnsi="方正仿宋_GBK" w:eastAsia="方正仿宋_GBK" w:cs="方正仿宋_GBK"/>
                <w:i w:val="0"/>
                <w:iCs w:val="0"/>
                <w:color w:val="000000"/>
                <w:sz w:val="22"/>
                <w:szCs w:val="22"/>
                <w:u w:val="none"/>
              </w:rPr>
            </w:pPr>
          </w:p>
        </w:tc>
      </w:tr>
      <w:tr w14:paraId="71950C89">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30E7DA64">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专业职称</w:t>
            </w:r>
          </w:p>
        </w:tc>
        <w:tc>
          <w:tcPr>
            <w:tcW w:w="1200" w:type="dxa"/>
            <w:tcBorders>
              <w:tl2br w:val="nil"/>
              <w:tr2bl w:val="nil"/>
            </w:tcBorders>
            <w:shd w:val="clear" w:color="auto" w:fill="auto"/>
            <w:noWrap/>
            <w:vAlign w:val="center"/>
          </w:tcPr>
          <w:p w14:paraId="7B03C810">
            <w:pPr>
              <w:rPr>
                <w:rFonts w:hint="eastAsia" w:ascii="方正仿宋_GBK" w:hAnsi="方正仿宋_GBK" w:eastAsia="方正仿宋_GBK" w:cs="方正仿宋_GBK"/>
                <w:i w:val="0"/>
                <w:iCs w:val="0"/>
                <w:color w:val="000000"/>
                <w:sz w:val="32"/>
                <w:szCs w:val="32"/>
                <w:u w:val="none"/>
              </w:rPr>
            </w:pPr>
          </w:p>
        </w:tc>
        <w:tc>
          <w:tcPr>
            <w:tcW w:w="2226" w:type="dxa"/>
            <w:gridSpan w:val="2"/>
            <w:tcBorders>
              <w:tl2br w:val="nil"/>
              <w:tr2bl w:val="nil"/>
            </w:tcBorders>
            <w:shd w:val="clear" w:color="auto" w:fill="auto"/>
            <w:noWrap/>
            <w:vAlign w:val="center"/>
          </w:tcPr>
          <w:p w14:paraId="75438EC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行政职称</w:t>
            </w:r>
          </w:p>
        </w:tc>
        <w:tc>
          <w:tcPr>
            <w:tcW w:w="1322" w:type="dxa"/>
            <w:tcBorders>
              <w:tl2br w:val="nil"/>
              <w:tr2bl w:val="nil"/>
            </w:tcBorders>
            <w:shd w:val="clear" w:color="auto" w:fill="auto"/>
            <w:noWrap/>
            <w:vAlign w:val="center"/>
          </w:tcPr>
          <w:p w14:paraId="7221C9A0">
            <w:pPr>
              <w:rPr>
                <w:rFonts w:hint="eastAsia" w:ascii="方正仿宋_GBK" w:hAnsi="方正仿宋_GBK" w:eastAsia="方正仿宋_GBK" w:cs="方正仿宋_GBK"/>
                <w:i w:val="0"/>
                <w:iCs w:val="0"/>
                <w:color w:val="000000"/>
                <w:sz w:val="32"/>
                <w:szCs w:val="32"/>
                <w:u w:val="none"/>
              </w:rPr>
            </w:pPr>
          </w:p>
        </w:tc>
        <w:tc>
          <w:tcPr>
            <w:tcW w:w="1537" w:type="dxa"/>
            <w:gridSpan w:val="2"/>
            <w:tcBorders>
              <w:tl2br w:val="nil"/>
              <w:tr2bl w:val="nil"/>
            </w:tcBorders>
            <w:shd w:val="clear" w:color="auto" w:fill="auto"/>
            <w:noWrap/>
            <w:vAlign w:val="center"/>
          </w:tcPr>
          <w:p w14:paraId="167E65A0">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研究专长</w:t>
            </w:r>
          </w:p>
        </w:tc>
        <w:tc>
          <w:tcPr>
            <w:tcW w:w="1358" w:type="dxa"/>
            <w:tcBorders>
              <w:tl2br w:val="nil"/>
              <w:tr2bl w:val="nil"/>
            </w:tcBorders>
            <w:shd w:val="clear" w:color="auto" w:fill="auto"/>
            <w:noWrap/>
            <w:vAlign w:val="center"/>
          </w:tcPr>
          <w:p w14:paraId="792661BF">
            <w:pPr>
              <w:rPr>
                <w:rFonts w:hint="eastAsia" w:ascii="方正仿宋_GBK" w:hAnsi="方正仿宋_GBK" w:eastAsia="方正仿宋_GBK" w:cs="方正仿宋_GBK"/>
                <w:i w:val="0"/>
                <w:iCs w:val="0"/>
                <w:color w:val="000000"/>
                <w:sz w:val="22"/>
                <w:szCs w:val="22"/>
                <w:u w:val="none"/>
              </w:rPr>
            </w:pPr>
          </w:p>
        </w:tc>
      </w:tr>
      <w:tr w14:paraId="79D2E9A7">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4C6C40BA">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通讯地址</w:t>
            </w:r>
          </w:p>
        </w:tc>
        <w:tc>
          <w:tcPr>
            <w:tcW w:w="4748" w:type="dxa"/>
            <w:gridSpan w:val="4"/>
            <w:tcBorders>
              <w:tl2br w:val="nil"/>
              <w:tr2bl w:val="nil"/>
            </w:tcBorders>
            <w:shd w:val="clear" w:color="auto" w:fill="auto"/>
            <w:noWrap/>
            <w:vAlign w:val="center"/>
          </w:tcPr>
          <w:p w14:paraId="38E570DC">
            <w:pPr>
              <w:jc w:val="center"/>
              <w:rPr>
                <w:rFonts w:hint="eastAsia" w:ascii="方正仿宋_GBK" w:hAnsi="方正仿宋_GBK" w:eastAsia="方正仿宋_GBK" w:cs="方正仿宋_GBK"/>
                <w:i w:val="0"/>
                <w:iCs w:val="0"/>
                <w:color w:val="000000"/>
                <w:sz w:val="32"/>
                <w:szCs w:val="32"/>
                <w:u w:val="none"/>
              </w:rPr>
            </w:pPr>
          </w:p>
        </w:tc>
        <w:tc>
          <w:tcPr>
            <w:tcW w:w="1537" w:type="dxa"/>
            <w:gridSpan w:val="2"/>
            <w:tcBorders>
              <w:tl2br w:val="nil"/>
              <w:tr2bl w:val="nil"/>
            </w:tcBorders>
            <w:shd w:val="clear" w:color="auto" w:fill="auto"/>
            <w:noWrap/>
            <w:vAlign w:val="center"/>
          </w:tcPr>
          <w:p w14:paraId="0BFB1086">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邮政编码</w:t>
            </w:r>
          </w:p>
        </w:tc>
        <w:tc>
          <w:tcPr>
            <w:tcW w:w="1358" w:type="dxa"/>
            <w:tcBorders>
              <w:tl2br w:val="nil"/>
              <w:tr2bl w:val="nil"/>
            </w:tcBorders>
            <w:shd w:val="clear" w:color="auto" w:fill="auto"/>
            <w:noWrap/>
            <w:vAlign w:val="center"/>
          </w:tcPr>
          <w:p w14:paraId="1C84DCB7">
            <w:pPr>
              <w:rPr>
                <w:rFonts w:hint="eastAsia" w:ascii="方正仿宋_GBK" w:hAnsi="方正仿宋_GBK" w:eastAsia="方正仿宋_GBK" w:cs="方正仿宋_GBK"/>
                <w:i w:val="0"/>
                <w:iCs w:val="0"/>
                <w:color w:val="000000"/>
                <w:sz w:val="22"/>
                <w:szCs w:val="22"/>
                <w:u w:val="none"/>
              </w:rPr>
            </w:pPr>
          </w:p>
        </w:tc>
      </w:tr>
      <w:tr w14:paraId="42025B6F">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5B8E02A0">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办公电话</w:t>
            </w:r>
          </w:p>
        </w:tc>
        <w:tc>
          <w:tcPr>
            <w:tcW w:w="1200" w:type="dxa"/>
            <w:tcBorders>
              <w:tl2br w:val="nil"/>
              <w:tr2bl w:val="nil"/>
            </w:tcBorders>
            <w:shd w:val="clear" w:color="auto" w:fill="auto"/>
            <w:noWrap/>
            <w:vAlign w:val="center"/>
          </w:tcPr>
          <w:p w14:paraId="495E4AD9">
            <w:pPr>
              <w:rPr>
                <w:rFonts w:hint="eastAsia" w:ascii="方正仿宋_GBK" w:hAnsi="方正仿宋_GBK" w:eastAsia="方正仿宋_GBK" w:cs="方正仿宋_GBK"/>
                <w:i w:val="0"/>
                <w:iCs w:val="0"/>
                <w:color w:val="000000"/>
                <w:sz w:val="32"/>
                <w:szCs w:val="32"/>
                <w:u w:val="none"/>
              </w:rPr>
            </w:pPr>
          </w:p>
        </w:tc>
        <w:tc>
          <w:tcPr>
            <w:tcW w:w="2226" w:type="dxa"/>
            <w:gridSpan w:val="2"/>
            <w:tcBorders>
              <w:tl2br w:val="nil"/>
              <w:tr2bl w:val="nil"/>
            </w:tcBorders>
            <w:shd w:val="clear" w:color="auto" w:fill="auto"/>
            <w:noWrap/>
            <w:vAlign w:val="center"/>
          </w:tcPr>
          <w:p w14:paraId="12D5587E">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移动电话</w:t>
            </w:r>
          </w:p>
        </w:tc>
        <w:tc>
          <w:tcPr>
            <w:tcW w:w="1322" w:type="dxa"/>
            <w:tcBorders>
              <w:tl2br w:val="nil"/>
              <w:tr2bl w:val="nil"/>
            </w:tcBorders>
            <w:shd w:val="clear" w:color="auto" w:fill="auto"/>
            <w:noWrap/>
            <w:vAlign w:val="center"/>
          </w:tcPr>
          <w:p w14:paraId="5A6A1CA8">
            <w:pPr>
              <w:rPr>
                <w:rFonts w:hint="eastAsia" w:ascii="方正仿宋_GBK" w:hAnsi="方正仿宋_GBK" w:eastAsia="方正仿宋_GBK" w:cs="方正仿宋_GBK"/>
                <w:i w:val="0"/>
                <w:iCs w:val="0"/>
                <w:color w:val="000000"/>
                <w:sz w:val="32"/>
                <w:szCs w:val="32"/>
                <w:u w:val="none"/>
              </w:rPr>
            </w:pPr>
          </w:p>
        </w:tc>
        <w:tc>
          <w:tcPr>
            <w:tcW w:w="1537" w:type="dxa"/>
            <w:gridSpan w:val="2"/>
            <w:tcBorders>
              <w:tl2br w:val="nil"/>
              <w:tr2bl w:val="nil"/>
            </w:tcBorders>
            <w:shd w:val="clear" w:color="auto" w:fill="auto"/>
            <w:noWrap/>
            <w:vAlign w:val="center"/>
          </w:tcPr>
          <w:p w14:paraId="2247FBDA">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传真号码</w:t>
            </w:r>
          </w:p>
        </w:tc>
        <w:tc>
          <w:tcPr>
            <w:tcW w:w="1358" w:type="dxa"/>
            <w:tcBorders>
              <w:tl2br w:val="nil"/>
              <w:tr2bl w:val="nil"/>
            </w:tcBorders>
            <w:shd w:val="clear" w:color="auto" w:fill="auto"/>
            <w:noWrap/>
            <w:vAlign w:val="center"/>
          </w:tcPr>
          <w:p w14:paraId="672E162E">
            <w:pPr>
              <w:rPr>
                <w:rFonts w:hint="eastAsia" w:ascii="方正仿宋_GBK" w:hAnsi="方正仿宋_GBK" w:eastAsia="方正仿宋_GBK" w:cs="方正仿宋_GBK"/>
                <w:i w:val="0"/>
                <w:iCs w:val="0"/>
                <w:color w:val="000000"/>
                <w:sz w:val="22"/>
                <w:szCs w:val="22"/>
                <w:u w:val="none"/>
              </w:rPr>
            </w:pPr>
          </w:p>
        </w:tc>
      </w:tr>
      <w:tr w14:paraId="654325EF">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4DD4B511">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电子邮箱</w:t>
            </w:r>
          </w:p>
        </w:tc>
        <w:tc>
          <w:tcPr>
            <w:tcW w:w="7643" w:type="dxa"/>
            <w:gridSpan w:val="7"/>
            <w:tcBorders>
              <w:tl2br w:val="nil"/>
              <w:tr2bl w:val="nil"/>
            </w:tcBorders>
            <w:shd w:val="clear" w:color="auto" w:fill="auto"/>
            <w:noWrap/>
            <w:vAlign w:val="center"/>
          </w:tcPr>
          <w:p w14:paraId="07738240">
            <w:pPr>
              <w:jc w:val="center"/>
              <w:rPr>
                <w:rFonts w:hint="eastAsia" w:ascii="方正仿宋_GBK" w:hAnsi="方正仿宋_GBK" w:eastAsia="方正仿宋_GBK" w:cs="方正仿宋_GBK"/>
                <w:i w:val="0"/>
                <w:iCs w:val="0"/>
                <w:color w:val="000000"/>
                <w:sz w:val="32"/>
                <w:szCs w:val="32"/>
                <w:u w:val="none"/>
              </w:rPr>
            </w:pPr>
          </w:p>
        </w:tc>
      </w:tr>
      <w:tr w14:paraId="22521A57">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75" w:hRule="atLeast"/>
        </w:trPr>
        <w:tc>
          <w:tcPr>
            <w:tcW w:w="1851" w:type="dxa"/>
            <w:vMerge w:val="restart"/>
            <w:tcBorders>
              <w:tl2br w:val="nil"/>
              <w:tr2bl w:val="nil"/>
            </w:tcBorders>
            <w:shd w:val="clear" w:color="auto" w:fill="auto"/>
            <w:noWrap/>
            <w:vAlign w:val="center"/>
          </w:tcPr>
          <w:p w14:paraId="469AFD6C">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kern w:val="0"/>
                <w:sz w:val="32"/>
                <w:szCs w:val="32"/>
                <w:u w:val="none"/>
                <w:lang w:val="en-US" w:eastAsia="zh-CN" w:bidi="ar"/>
              </w:rPr>
            </w:pPr>
            <w:r>
              <w:rPr>
                <w:rFonts w:hint="eastAsia" w:ascii="方正仿宋_GBK" w:hAnsi="方正仿宋_GBK" w:eastAsia="方正仿宋_GBK" w:cs="方正仿宋_GBK"/>
                <w:b/>
                <w:bCs/>
                <w:i w:val="0"/>
                <w:iCs w:val="0"/>
                <w:color w:val="000000"/>
                <w:kern w:val="0"/>
                <w:sz w:val="32"/>
                <w:szCs w:val="32"/>
                <w:u w:val="none"/>
                <w:lang w:val="en-US" w:eastAsia="zh-CN" w:bidi="ar"/>
              </w:rPr>
              <w:t>课题组成员</w:t>
            </w:r>
          </w:p>
          <w:p w14:paraId="028AA33C">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kern w:val="0"/>
                <w:sz w:val="32"/>
                <w:szCs w:val="32"/>
                <w:u w:val="none"/>
                <w:lang w:val="en-US" w:eastAsia="zh-CN" w:bidi="ar"/>
              </w:rPr>
            </w:pPr>
            <w:r>
              <w:rPr>
                <w:rFonts w:hint="eastAsia" w:ascii="方正仿宋_GBK" w:hAnsi="方正仿宋_GBK" w:eastAsia="方正仿宋_GBK" w:cs="方正仿宋_GBK"/>
                <w:b w:val="0"/>
                <w:bCs w:val="0"/>
                <w:i w:val="0"/>
                <w:iCs w:val="0"/>
                <w:color w:val="000000"/>
                <w:kern w:val="0"/>
                <w:sz w:val="28"/>
                <w:szCs w:val="28"/>
                <w:u w:val="none"/>
                <w:lang w:val="en-US" w:eastAsia="zh-CN" w:bidi="ar"/>
              </w:rPr>
              <w:t>（可另加行）</w:t>
            </w:r>
          </w:p>
        </w:tc>
        <w:tc>
          <w:tcPr>
            <w:tcW w:w="1200" w:type="dxa"/>
            <w:tcBorders>
              <w:tl2br w:val="nil"/>
              <w:tr2bl w:val="nil"/>
            </w:tcBorders>
            <w:shd w:val="clear" w:color="auto" w:fill="auto"/>
            <w:noWrap/>
            <w:vAlign w:val="center"/>
          </w:tcPr>
          <w:p w14:paraId="529029A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方正仿宋_GBK" w:hAnsi="方正仿宋_GBK" w:eastAsia="方正仿宋_GBK" w:cs="方正仿宋_GBK"/>
                <w:b/>
                <w:bCs/>
                <w:i w:val="0"/>
                <w:iCs w:val="0"/>
                <w:color w:val="000000"/>
                <w:sz w:val="28"/>
                <w:szCs w:val="28"/>
                <w:u w:val="none"/>
                <w:lang w:val="en-US" w:eastAsia="zh-CN"/>
              </w:rPr>
            </w:pPr>
            <w:r>
              <w:rPr>
                <w:rFonts w:hint="eastAsia" w:ascii="方正仿宋_GBK" w:hAnsi="方正仿宋_GBK" w:eastAsia="方正仿宋_GBK" w:cs="方正仿宋_GBK"/>
                <w:b/>
                <w:bCs/>
                <w:i w:val="0"/>
                <w:iCs w:val="0"/>
                <w:color w:val="000000"/>
                <w:sz w:val="28"/>
                <w:szCs w:val="28"/>
                <w:u w:val="none"/>
                <w:lang w:val="en-US" w:eastAsia="zh-CN"/>
              </w:rPr>
              <w:t>序号</w:t>
            </w:r>
          </w:p>
        </w:tc>
        <w:tc>
          <w:tcPr>
            <w:tcW w:w="1360" w:type="dxa"/>
            <w:tcBorders>
              <w:tl2br w:val="nil"/>
              <w:tr2bl w:val="nil"/>
            </w:tcBorders>
            <w:shd w:val="clear" w:color="auto" w:fill="auto"/>
            <w:noWrap/>
            <w:vAlign w:val="center"/>
          </w:tcPr>
          <w:p w14:paraId="46428EA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sz w:val="28"/>
                <w:szCs w:val="28"/>
                <w:u w:val="none"/>
                <w:lang w:val="en-US" w:eastAsia="zh-CN"/>
              </w:rPr>
            </w:pPr>
            <w:r>
              <w:rPr>
                <w:rFonts w:hint="eastAsia" w:ascii="方正仿宋_GBK" w:hAnsi="方正仿宋_GBK" w:eastAsia="方正仿宋_GBK" w:cs="方正仿宋_GBK"/>
                <w:b/>
                <w:bCs/>
                <w:i w:val="0"/>
                <w:iCs w:val="0"/>
                <w:color w:val="000000"/>
                <w:sz w:val="28"/>
                <w:szCs w:val="28"/>
                <w:u w:val="none"/>
                <w:lang w:val="en-US" w:eastAsia="zh-CN"/>
              </w:rPr>
              <w:t>姓名</w:t>
            </w:r>
          </w:p>
        </w:tc>
        <w:tc>
          <w:tcPr>
            <w:tcW w:w="2760" w:type="dxa"/>
            <w:gridSpan w:val="3"/>
            <w:tcBorders>
              <w:tl2br w:val="nil"/>
              <w:tr2bl w:val="nil"/>
            </w:tcBorders>
            <w:shd w:val="clear" w:color="auto" w:fill="auto"/>
            <w:noWrap/>
            <w:vAlign w:val="center"/>
          </w:tcPr>
          <w:p w14:paraId="16876F1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方正仿宋_GBK" w:hAnsi="方正仿宋_GBK" w:eastAsia="方正仿宋_GBK" w:cs="方正仿宋_GBK"/>
                <w:b/>
                <w:bCs/>
                <w:i w:val="0"/>
                <w:iCs w:val="0"/>
                <w:color w:val="000000"/>
                <w:sz w:val="28"/>
                <w:szCs w:val="28"/>
                <w:u w:val="none"/>
                <w:lang w:val="en-US" w:eastAsia="zh-CN"/>
              </w:rPr>
            </w:pPr>
            <w:r>
              <w:rPr>
                <w:rFonts w:hint="eastAsia" w:ascii="方正仿宋_GBK" w:hAnsi="方正仿宋_GBK" w:eastAsia="方正仿宋_GBK" w:cs="方正仿宋_GBK"/>
                <w:b/>
                <w:bCs/>
                <w:i w:val="0"/>
                <w:iCs w:val="0"/>
                <w:color w:val="000000"/>
                <w:sz w:val="28"/>
                <w:szCs w:val="28"/>
                <w:u w:val="none"/>
                <w:lang w:val="en-US" w:eastAsia="zh-CN"/>
              </w:rPr>
              <w:t>单位及职称（或职务）</w:t>
            </w:r>
          </w:p>
        </w:tc>
        <w:tc>
          <w:tcPr>
            <w:tcW w:w="2323" w:type="dxa"/>
            <w:gridSpan w:val="2"/>
            <w:tcBorders>
              <w:tl2br w:val="nil"/>
              <w:tr2bl w:val="nil"/>
            </w:tcBorders>
            <w:shd w:val="clear" w:color="auto" w:fill="auto"/>
            <w:noWrap/>
            <w:vAlign w:val="center"/>
          </w:tcPr>
          <w:p w14:paraId="3F502CF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sz w:val="28"/>
                <w:szCs w:val="28"/>
                <w:u w:val="none"/>
                <w:lang w:val="en-US" w:eastAsia="zh-CN"/>
              </w:rPr>
            </w:pPr>
            <w:r>
              <w:rPr>
                <w:rFonts w:hint="eastAsia" w:ascii="方正仿宋_GBK" w:hAnsi="方正仿宋_GBK" w:eastAsia="方正仿宋_GBK" w:cs="方正仿宋_GBK"/>
                <w:b/>
                <w:bCs/>
                <w:i w:val="0"/>
                <w:iCs w:val="0"/>
                <w:color w:val="000000"/>
                <w:sz w:val="28"/>
                <w:szCs w:val="28"/>
                <w:u w:val="none"/>
                <w:lang w:val="en-US" w:eastAsia="zh-CN"/>
              </w:rPr>
              <w:t>在本课题中承担的工作</w:t>
            </w:r>
          </w:p>
        </w:tc>
      </w:tr>
      <w:tr w14:paraId="7FEB5E3B">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vMerge w:val="continue"/>
            <w:tcBorders>
              <w:tl2br w:val="nil"/>
              <w:tr2bl w:val="nil"/>
            </w:tcBorders>
            <w:shd w:val="clear" w:color="auto" w:fill="auto"/>
            <w:noWrap/>
            <w:vAlign w:val="center"/>
          </w:tcPr>
          <w:p w14:paraId="691BC535">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kern w:val="0"/>
                <w:sz w:val="32"/>
                <w:szCs w:val="32"/>
                <w:u w:val="none"/>
                <w:lang w:val="en-US" w:eastAsia="zh-CN" w:bidi="ar"/>
              </w:rPr>
            </w:pPr>
          </w:p>
        </w:tc>
        <w:tc>
          <w:tcPr>
            <w:tcW w:w="1200" w:type="dxa"/>
            <w:tcBorders>
              <w:tl2br w:val="nil"/>
              <w:tr2bl w:val="nil"/>
            </w:tcBorders>
            <w:shd w:val="clear" w:color="auto" w:fill="auto"/>
            <w:noWrap/>
            <w:vAlign w:val="center"/>
          </w:tcPr>
          <w:p w14:paraId="67B06A8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lang w:val="en-US" w:eastAsia="zh-CN"/>
              </w:rPr>
            </w:pPr>
            <w:r>
              <w:rPr>
                <w:rFonts w:hint="eastAsia" w:ascii="方正仿宋_GBK" w:hAnsi="方正仿宋_GBK" w:eastAsia="方正仿宋_GBK" w:cs="方正仿宋_GBK"/>
                <w:i w:val="0"/>
                <w:iCs w:val="0"/>
                <w:color w:val="000000"/>
                <w:sz w:val="28"/>
                <w:szCs w:val="28"/>
                <w:u w:val="none"/>
                <w:lang w:val="en-US" w:eastAsia="zh-CN"/>
              </w:rPr>
              <w:t>1</w:t>
            </w:r>
          </w:p>
        </w:tc>
        <w:tc>
          <w:tcPr>
            <w:tcW w:w="1360" w:type="dxa"/>
            <w:tcBorders>
              <w:tl2br w:val="nil"/>
              <w:tr2bl w:val="nil"/>
            </w:tcBorders>
            <w:shd w:val="clear" w:color="auto" w:fill="auto"/>
            <w:noWrap/>
            <w:vAlign w:val="center"/>
          </w:tcPr>
          <w:p w14:paraId="21BE4B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rPr>
            </w:pPr>
          </w:p>
        </w:tc>
        <w:tc>
          <w:tcPr>
            <w:tcW w:w="2760" w:type="dxa"/>
            <w:gridSpan w:val="3"/>
            <w:tcBorders>
              <w:tl2br w:val="nil"/>
              <w:tr2bl w:val="nil"/>
            </w:tcBorders>
            <w:shd w:val="clear" w:color="auto" w:fill="auto"/>
            <w:noWrap/>
            <w:vAlign w:val="center"/>
          </w:tcPr>
          <w:p w14:paraId="2C0D4D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c>
          <w:tcPr>
            <w:tcW w:w="2323" w:type="dxa"/>
            <w:gridSpan w:val="2"/>
            <w:tcBorders>
              <w:tl2br w:val="nil"/>
              <w:tr2bl w:val="nil"/>
            </w:tcBorders>
            <w:shd w:val="clear" w:color="auto" w:fill="auto"/>
            <w:noWrap/>
            <w:vAlign w:val="center"/>
          </w:tcPr>
          <w:p w14:paraId="02FB1FC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r>
      <w:tr w14:paraId="09A4741B">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vMerge w:val="continue"/>
            <w:tcBorders>
              <w:tl2br w:val="nil"/>
              <w:tr2bl w:val="nil"/>
            </w:tcBorders>
            <w:shd w:val="clear" w:color="auto" w:fill="auto"/>
            <w:noWrap/>
            <w:vAlign w:val="center"/>
          </w:tcPr>
          <w:p w14:paraId="5EC2FB6F">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kern w:val="0"/>
                <w:sz w:val="32"/>
                <w:szCs w:val="32"/>
                <w:u w:val="none"/>
                <w:lang w:val="en-US" w:eastAsia="zh-CN" w:bidi="ar"/>
              </w:rPr>
            </w:pPr>
          </w:p>
        </w:tc>
        <w:tc>
          <w:tcPr>
            <w:tcW w:w="1200" w:type="dxa"/>
            <w:tcBorders>
              <w:tl2br w:val="nil"/>
              <w:tr2bl w:val="nil"/>
            </w:tcBorders>
            <w:shd w:val="clear" w:color="auto" w:fill="auto"/>
            <w:noWrap/>
            <w:vAlign w:val="center"/>
          </w:tcPr>
          <w:p w14:paraId="64A8217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lang w:val="en-US" w:eastAsia="zh-CN"/>
              </w:rPr>
            </w:pPr>
            <w:r>
              <w:rPr>
                <w:rFonts w:hint="eastAsia" w:ascii="方正仿宋_GBK" w:hAnsi="方正仿宋_GBK" w:eastAsia="方正仿宋_GBK" w:cs="方正仿宋_GBK"/>
                <w:i w:val="0"/>
                <w:iCs w:val="0"/>
                <w:color w:val="000000"/>
                <w:sz w:val="28"/>
                <w:szCs w:val="28"/>
                <w:u w:val="none"/>
                <w:lang w:val="en-US" w:eastAsia="zh-CN"/>
              </w:rPr>
              <w:t>2</w:t>
            </w:r>
          </w:p>
        </w:tc>
        <w:tc>
          <w:tcPr>
            <w:tcW w:w="1360" w:type="dxa"/>
            <w:tcBorders>
              <w:tl2br w:val="nil"/>
              <w:tr2bl w:val="nil"/>
            </w:tcBorders>
            <w:shd w:val="clear" w:color="auto" w:fill="auto"/>
            <w:noWrap/>
            <w:vAlign w:val="center"/>
          </w:tcPr>
          <w:p w14:paraId="500EBB4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rPr>
            </w:pPr>
          </w:p>
        </w:tc>
        <w:tc>
          <w:tcPr>
            <w:tcW w:w="2760" w:type="dxa"/>
            <w:gridSpan w:val="3"/>
            <w:tcBorders>
              <w:tl2br w:val="nil"/>
              <w:tr2bl w:val="nil"/>
            </w:tcBorders>
            <w:shd w:val="clear" w:color="auto" w:fill="auto"/>
            <w:noWrap/>
            <w:vAlign w:val="center"/>
          </w:tcPr>
          <w:p w14:paraId="16ECC6B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c>
          <w:tcPr>
            <w:tcW w:w="2323" w:type="dxa"/>
            <w:gridSpan w:val="2"/>
            <w:tcBorders>
              <w:tl2br w:val="nil"/>
              <w:tr2bl w:val="nil"/>
            </w:tcBorders>
            <w:shd w:val="clear" w:color="auto" w:fill="auto"/>
            <w:noWrap/>
            <w:vAlign w:val="center"/>
          </w:tcPr>
          <w:p w14:paraId="7620A49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r>
      <w:tr w14:paraId="37DDB186">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vMerge w:val="continue"/>
            <w:tcBorders>
              <w:tl2br w:val="nil"/>
              <w:tr2bl w:val="nil"/>
            </w:tcBorders>
            <w:shd w:val="clear" w:color="auto" w:fill="auto"/>
            <w:noWrap/>
            <w:vAlign w:val="center"/>
          </w:tcPr>
          <w:p w14:paraId="44A8163F">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kern w:val="0"/>
                <w:sz w:val="32"/>
                <w:szCs w:val="32"/>
                <w:u w:val="none"/>
                <w:lang w:val="en-US" w:eastAsia="zh-CN" w:bidi="ar"/>
              </w:rPr>
            </w:pPr>
          </w:p>
        </w:tc>
        <w:tc>
          <w:tcPr>
            <w:tcW w:w="1200" w:type="dxa"/>
            <w:tcBorders>
              <w:tl2br w:val="nil"/>
              <w:tr2bl w:val="nil"/>
            </w:tcBorders>
            <w:shd w:val="clear" w:color="auto" w:fill="auto"/>
            <w:noWrap/>
            <w:vAlign w:val="center"/>
          </w:tcPr>
          <w:p w14:paraId="3BEFFEF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lang w:val="en-US" w:eastAsia="zh-CN"/>
              </w:rPr>
            </w:pPr>
            <w:r>
              <w:rPr>
                <w:rFonts w:hint="eastAsia" w:ascii="方正仿宋_GBK" w:hAnsi="方正仿宋_GBK" w:eastAsia="方正仿宋_GBK" w:cs="方正仿宋_GBK"/>
                <w:i w:val="0"/>
                <w:iCs w:val="0"/>
                <w:color w:val="000000"/>
                <w:sz w:val="28"/>
                <w:szCs w:val="28"/>
                <w:u w:val="none"/>
                <w:lang w:val="en-US" w:eastAsia="zh-CN"/>
              </w:rPr>
              <w:t>3</w:t>
            </w:r>
          </w:p>
        </w:tc>
        <w:tc>
          <w:tcPr>
            <w:tcW w:w="1360" w:type="dxa"/>
            <w:tcBorders>
              <w:tl2br w:val="nil"/>
              <w:tr2bl w:val="nil"/>
            </w:tcBorders>
            <w:shd w:val="clear" w:color="auto" w:fill="auto"/>
            <w:noWrap/>
            <w:vAlign w:val="center"/>
          </w:tcPr>
          <w:p w14:paraId="2DDB76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i w:val="0"/>
                <w:iCs w:val="0"/>
                <w:color w:val="000000"/>
                <w:sz w:val="28"/>
                <w:szCs w:val="28"/>
                <w:u w:val="none"/>
              </w:rPr>
            </w:pPr>
          </w:p>
        </w:tc>
        <w:tc>
          <w:tcPr>
            <w:tcW w:w="2760" w:type="dxa"/>
            <w:gridSpan w:val="3"/>
            <w:tcBorders>
              <w:tl2br w:val="nil"/>
              <w:tr2bl w:val="nil"/>
            </w:tcBorders>
            <w:shd w:val="clear" w:color="auto" w:fill="auto"/>
            <w:noWrap/>
            <w:vAlign w:val="center"/>
          </w:tcPr>
          <w:p w14:paraId="4FFFD30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c>
          <w:tcPr>
            <w:tcW w:w="2323" w:type="dxa"/>
            <w:gridSpan w:val="2"/>
            <w:tcBorders>
              <w:tl2br w:val="nil"/>
              <w:tr2bl w:val="nil"/>
            </w:tcBorders>
            <w:shd w:val="clear" w:color="auto" w:fill="auto"/>
            <w:noWrap/>
            <w:vAlign w:val="center"/>
          </w:tcPr>
          <w:p w14:paraId="62175DF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i w:val="0"/>
                <w:iCs w:val="0"/>
                <w:color w:val="000000"/>
                <w:kern w:val="0"/>
                <w:sz w:val="28"/>
                <w:szCs w:val="28"/>
                <w:u w:val="none"/>
                <w:lang w:val="en-US" w:eastAsia="zh-CN" w:bidi="ar"/>
              </w:rPr>
            </w:pPr>
          </w:p>
        </w:tc>
      </w:tr>
      <w:tr w14:paraId="61047C9C">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vMerge w:val="restart"/>
            <w:tcBorders>
              <w:tl2br w:val="nil"/>
              <w:tr2bl w:val="nil"/>
            </w:tcBorders>
            <w:shd w:val="clear" w:color="auto" w:fill="auto"/>
            <w:vAlign w:val="center"/>
          </w:tcPr>
          <w:p w14:paraId="5A060A49">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申请人（课题负责人）近三年参与的与本次申请方向相关的课题研究</w:t>
            </w:r>
          </w:p>
        </w:tc>
        <w:tc>
          <w:tcPr>
            <w:tcW w:w="7643" w:type="dxa"/>
            <w:gridSpan w:val="7"/>
            <w:vMerge w:val="restart"/>
            <w:tcBorders>
              <w:tl2br w:val="nil"/>
              <w:tr2bl w:val="nil"/>
            </w:tcBorders>
            <w:shd w:val="clear" w:color="auto" w:fill="auto"/>
            <w:noWrap/>
            <w:vAlign w:val="top"/>
          </w:tcPr>
          <w:p w14:paraId="060411F5">
            <w:pPr>
              <w:jc w:val="left"/>
              <w:rPr>
                <w:rFonts w:hint="eastAsia" w:ascii="方正仿宋_GBK" w:hAnsi="方正仿宋_GBK" w:eastAsia="方正仿宋_GBK" w:cs="方正仿宋_GBK"/>
                <w:i w:val="0"/>
                <w:iCs w:val="0"/>
                <w:color w:val="000000"/>
                <w:sz w:val="32"/>
                <w:szCs w:val="32"/>
                <w:u w:val="none"/>
              </w:rPr>
            </w:pPr>
            <w:r>
              <w:rPr>
                <w:rFonts w:hint="eastAsia" w:ascii="方正仿宋_GBK" w:hAnsi="方正仿宋_GBK" w:eastAsia="方正仿宋_GBK" w:cs="方正仿宋_GBK"/>
                <w:b w:val="0"/>
                <w:bCs w:val="0"/>
                <w:i w:val="0"/>
                <w:iCs w:val="0"/>
                <w:color w:val="000000"/>
                <w:sz w:val="32"/>
                <w:szCs w:val="32"/>
                <w:u w:val="none"/>
                <w:lang w:eastAsia="zh-CN"/>
              </w:rPr>
              <w:t>（提示:仅填写课题负责人近三年参与的与本次申请方向相关的课题研究，并说明承担的工作。）</w:t>
            </w:r>
          </w:p>
        </w:tc>
      </w:tr>
      <w:tr w14:paraId="399B2865">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5122EEA0">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1A0806C5">
            <w:pPr>
              <w:jc w:val="center"/>
              <w:rPr>
                <w:rFonts w:hint="eastAsia" w:ascii="方正仿宋_GBK" w:hAnsi="方正仿宋_GBK" w:eastAsia="方正仿宋_GBK" w:cs="方正仿宋_GBK"/>
                <w:i w:val="0"/>
                <w:iCs w:val="0"/>
                <w:color w:val="000000"/>
                <w:sz w:val="32"/>
                <w:szCs w:val="32"/>
                <w:u w:val="none"/>
              </w:rPr>
            </w:pPr>
          </w:p>
        </w:tc>
      </w:tr>
      <w:tr w14:paraId="28867BCC">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4AB4E0F1">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17BBE0EF">
            <w:pPr>
              <w:jc w:val="center"/>
              <w:rPr>
                <w:rFonts w:hint="eastAsia" w:ascii="方正仿宋_GBK" w:hAnsi="方正仿宋_GBK" w:eastAsia="方正仿宋_GBK" w:cs="方正仿宋_GBK"/>
                <w:i w:val="0"/>
                <w:iCs w:val="0"/>
                <w:color w:val="000000"/>
                <w:sz w:val="32"/>
                <w:szCs w:val="32"/>
                <w:u w:val="none"/>
              </w:rPr>
            </w:pPr>
          </w:p>
        </w:tc>
      </w:tr>
      <w:tr w14:paraId="40BB664D">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60029001">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7B66D699">
            <w:pPr>
              <w:jc w:val="center"/>
              <w:rPr>
                <w:rFonts w:hint="eastAsia" w:ascii="方正仿宋_GBK" w:hAnsi="方正仿宋_GBK" w:eastAsia="方正仿宋_GBK" w:cs="方正仿宋_GBK"/>
                <w:i w:val="0"/>
                <w:iCs w:val="0"/>
                <w:color w:val="000000"/>
                <w:sz w:val="32"/>
                <w:szCs w:val="32"/>
                <w:u w:val="none"/>
              </w:rPr>
            </w:pPr>
          </w:p>
        </w:tc>
      </w:tr>
      <w:tr w14:paraId="4E958913">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4C951F5B">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2E94D288">
            <w:pPr>
              <w:jc w:val="center"/>
              <w:rPr>
                <w:rFonts w:hint="eastAsia" w:ascii="方正仿宋_GBK" w:hAnsi="方正仿宋_GBK" w:eastAsia="方正仿宋_GBK" w:cs="方正仿宋_GBK"/>
                <w:i w:val="0"/>
                <w:iCs w:val="0"/>
                <w:color w:val="000000"/>
                <w:sz w:val="32"/>
                <w:szCs w:val="32"/>
                <w:u w:val="none"/>
              </w:rPr>
            </w:pPr>
          </w:p>
        </w:tc>
      </w:tr>
      <w:tr w14:paraId="6BC0F160">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12" w:hRule="atLeast"/>
        </w:trPr>
        <w:tc>
          <w:tcPr>
            <w:tcW w:w="1851" w:type="dxa"/>
            <w:vMerge w:val="continue"/>
            <w:tcBorders>
              <w:tl2br w:val="nil"/>
              <w:tr2bl w:val="nil"/>
            </w:tcBorders>
            <w:shd w:val="clear" w:color="auto" w:fill="auto"/>
            <w:vAlign w:val="center"/>
          </w:tcPr>
          <w:p w14:paraId="60D60AB6">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65D4A4A7">
            <w:pPr>
              <w:jc w:val="center"/>
              <w:rPr>
                <w:rFonts w:hint="eastAsia" w:ascii="方正仿宋_GBK" w:hAnsi="方正仿宋_GBK" w:eastAsia="方正仿宋_GBK" w:cs="方正仿宋_GBK"/>
                <w:i w:val="0"/>
                <w:iCs w:val="0"/>
                <w:color w:val="000000"/>
                <w:sz w:val="32"/>
                <w:szCs w:val="32"/>
                <w:u w:val="none"/>
              </w:rPr>
            </w:pPr>
          </w:p>
        </w:tc>
      </w:tr>
      <w:tr w14:paraId="0BB4567F">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2784" w:hRule="atLeast"/>
        </w:trPr>
        <w:tc>
          <w:tcPr>
            <w:tcW w:w="1851" w:type="dxa"/>
            <w:vMerge w:val="continue"/>
            <w:tcBorders>
              <w:tl2br w:val="nil"/>
              <w:tr2bl w:val="nil"/>
            </w:tcBorders>
            <w:shd w:val="clear" w:color="auto" w:fill="auto"/>
            <w:vAlign w:val="center"/>
          </w:tcPr>
          <w:p w14:paraId="0CFA988A">
            <w:pPr>
              <w:jc w:val="center"/>
              <w:rPr>
                <w:rFonts w:hint="eastAsia" w:ascii="方正仿宋_GBK" w:hAnsi="方正仿宋_GBK" w:eastAsia="方正仿宋_GBK" w:cs="方正仿宋_GBK"/>
                <w:b/>
                <w:bCs/>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2F404BBE">
            <w:pPr>
              <w:jc w:val="center"/>
              <w:rPr>
                <w:rFonts w:hint="eastAsia" w:ascii="方正仿宋_GBK" w:hAnsi="方正仿宋_GBK" w:eastAsia="方正仿宋_GBK" w:cs="方正仿宋_GBK"/>
                <w:i w:val="0"/>
                <w:iCs w:val="0"/>
                <w:color w:val="000000"/>
                <w:sz w:val="32"/>
                <w:szCs w:val="32"/>
                <w:u w:val="none"/>
              </w:rPr>
            </w:pPr>
          </w:p>
        </w:tc>
      </w:tr>
      <w:tr w14:paraId="503D1139">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tcBorders>
              <w:tl2br w:val="nil"/>
              <w:tr2bl w:val="nil"/>
            </w:tcBorders>
            <w:shd w:val="clear" w:color="auto" w:fill="auto"/>
            <w:noWrap/>
            <w:vAlign w:val="center"/>
          </w:tcPr>
          <w:p w14:paraId="5A599E78">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rPr>
            </w:pPr>
            <w:r>
              <w:rPr>
                <w:rFonts w:hint="eastAsia" w:ascii="方正仿宋_GBK" w:hAnsi="方正仿宋_GBK" w:eastAsia="方正仿宋_GBK" w:cs="方正仿宋_GBK"/>
                <w:b/>
                <w:bCs/>
                <w:i w:val="0"/>
                <w:iCs w:val="0"/>
                <w:color w:val="000000"/>
                <w:kern w:val="0"/>
                <w:sz w:val="32"/>
                <w:szCs w:val="32"/>
                <w:u w:val="none"/>
                <w:lang w:val="en-US" w:eastAsia="zh-CN" w:bidi="ar"/>
              </w:rPr>
              <w:t>拟申请课题名称</w:t>
            </w:r>
          </w:p>
        </w:tc>
        <w:tc>
          <w:tcPr>
            <w:tcW w:w="7643" w:type="dxa"/>
            <w:gridSpan w:val="7"/>
            <w:tcBorders>
              <w:tl2br w:val="nil"/>
              <w:tr2bl w:val="nil"/>
            </w:tcBorders>
            <w:shd w:val="clear" w:color="auto" w:fill="auto"/>
            <w:noWrap/>
            <w:vAlign w:val="center"/>
          </w:tcPr>
          <w:p w14:paraId="0362888A">
            <w:pPr>
              <w:jc w:val="center"/>
              <w:rPr>
                <w:rFonts w:hint="eastAsia" w:ascii="方正仿宋_GBK" w:hAnsi="方正仿宋_GBK" w:eastAsia="方正仿宋_GBK" w:cs="方正仿宋_GBK"/>
                <w:i w:val="0"/>
                <w:iCs w:val="0"/>
                <w:color w:val="000000"/>
                <w:sz w:val="32"/>
                <w:szCs w:val="32"/>
                <w:u w:val="none"/>
              </w:rPr>
            </w:pPr>
          </w:p>
        </w:tc>
      </w:tr>
      <w:tr w14:paraId="25719A90">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464" w:hRule="atLeast"/>
        </w:trPr>
        <w:tc>
          <w:tcPr>
            <w:tcW w:w="1851" w:type="dxa"/>
            <w:vMerge w:val="restart"/>
            <w:tcBorders>
              <w:tl2br w:val="nil"/>
              <w:tr2bl w:val="nil"/>
            </w:tcBorders>
            <w:shd w:val="clear" w:color="auto" w:fill="auto"/>
            <w:vAlign w:val="center"/>
          </w:tcPr>
          <w:p w14:paraId="5908EB0C">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32"/>
                <w:szCs w:val="32"/>
                <w:u w:val="none"/>
                <w:lang w:val="en-US"/>
              </w:rPr>
            </w:pPr>
            <w:r>
              <w:rPr>
                <w:rFonts w:hint="eastAsia" w:ascii="方正仿宋_GBK" w:hAnsi="方正仿宋_GBK" w:eastAsia="方正仿宋_GBK" w:cs="方正仿宋_GBK"/>
                <w:b/>
                <w:bCs/>
                <w:i w:val="0"/>
                <w:iCs w:val="0"/>
                <w:color w:val="000000"/>
                <w:kern w:val="0"/>
                <w:sz w:val="32"/>
                <w:szCs w:val="32"/>
                <w:u w:val="none"/>
                <w:lang w:val="en-US" w:eastAsia="zh-CN" w:bidi="ar"/>
              </w:rPr>
              <w:t>课题研究大纲</w:t>
            </w:r>
          </w:p>
        </w:tc>
        <w:tc>
          <w:tcPr>
            <w:tcW w:w="7643" w:type="dxa"/>
            <w:gridSpan w:val="7"/>
            <w:vMerge w:val="restart"/>
            <w:tcBorders>
              <w:tl2br w:val="nil"/>
              <w:tr2bl w:val="nil"/>
            </w:tcBorders>
            <w:shd w:val="clear" w:color="auto" w:fill="auto"/>
            <w:noWrap/>
            <w:vAlign w:val="top"/>
          </w:tcPr>
          <w:p w14:paraId="5A5EF383">
            <w:pPr>
              <w:jc w:val="left"/>
              <w:rPr>
                <w:rFonts w:hint="eastAsia" w:ascii="方正仿宋_GBK" w:hAnsi="方正仿宋_GBK" w:eastAsia="方正仿宋_GBK" w:cs="方正仿宋_GBK"/>
                <w:i w:val="0"/>
                <w:iCs w:val="0"/>
                <w:color w:val="000000"/>
                <w:sz w:val="32"/>
                <w:szCs w:val="32"/>
                <w:u w:val="none"/>
                <w:lang w:val="en-US" w:eastAsia="zh-CN"/>
              </w:rPr>
            </w:pPr>
            <w:r>
              <w:rPr>
                <w:rFonts w:hint="eastAsia" w:ascii="方正仿宋_GBK" w:hAnsi="方正仿宋_GBK" w:eastAsia="方正仿宋_GBK" w:cs="方正仿宋_GBK"/>
                <w:b w:val="0"/>
                <w:bCs w:val="0"/>
                <w:i w:val="0"/>
                <w:iCs w:val="0"/>
                <w:color w:val="000000"/>
                <w:sz w:val="32"/>
                <w:szCs w:val="32"/>
                <w:u w:val="none"/>
                <w:lang w:eastAsia="zh-CN"/>
              </w:rPr>
              <w:t>（提示：</w:t>
            </w:r>
            <w:r>
              <w:rPr>
                <w:rFonts w:hint="eastAsia" w:ascii="方正仿宋_GBK" w:hAnsi="方正仿宋_GBK" w:eastAsia="方正仿宋_GBK" w:cs="方正仿宋_GBK"/>
                <w:b w:val="0"/>
                <w:bCs w:val="0"/>
                <w:i w:val="0"/>
                <w:iCs w:val="0"/>
                <w:color w:val="000000"/>
                <w:sz w:val="32"/>
                <w:szCs w:val="32"/>
                <w:u w:val="none"/>
                <w:lang w:val="en-US" w:eastAsia="zh-CN"/>
              </w:rPr>
              <w:t xml:space="preserve">1. </w:t>
            </w:r>
            <w:r>
              <w:rPr>
                <w:rFonts w:hint="eastAsia" w:ascii="方正仿宋_GBK" w:hAnsi="方正仿宋_GBK" w:eastAsia="方正仿宋_GBK" w:cs="方正仿宋_GBK"/>
                <w:b w:val="0"/>
                <w:bCs w:val="0"/>
                <w:i w:val="0"/>
                <w:iCs w:val="0"/>
                <w:color w:val="000000"/>
                <w:sz w:val="32"/>
                <w:szCs w:val="32"/>
                <w:u w:val="none"/>
                <w:lang w:eastAsia="zh-CN"/>
              </w:rPr>
              <w:t>本课题的研究目的；2.</w:t>
            </w:r>
            <w:r>
              <w:rPr>
                <w:rFonts w:hint="eastAsia" w:ascii="方正仿宋_GBK" w:hAnsi="方正仿宋_GBK" w:eastAsia="方正仿宋_GBK" w:cs="方正仿宋_GBK"/>
                <w:b w:val="0"/>
                <w:bCs w:val="0"/>
                <w:i w:val="0"/>
                <w:iCs w:val="0"/>
                <w:color w:val="000000"/>
                <w:sz w:val="32"/>
                <w:szCs w:val="32"/>
                <w:u w:val="none"/>
                <w:lang w:val="en-US" w:eastAsia="zh-CN"/>
              </w:rPr>
              <w:t xml:space="preserve"> </w:t>
            </w:r>
            <w:r>
              <w:rPr>
                <w:rFonts w:hint="eastAsia" w:ascii="方正仿宋_GBK" w:hAnsi="方正仿宋_GBK" w:eastAsia="方正仿宋_GBK" w:cs="方正仿宋_GBK"/>
                <w:b w:val="0"/>
                <w:bCs w:val="0"/>
                <w:i w:val="0"/>
                <w:iCs w:val="0"/>
                <w:color w:val="000000"/>
                <w:sz w:val="32"/>
                <w:szCs w:val="32"/>
                <w:u w:val="none"/>
                <w:lang w:eastAsia="zh-CN"/>
              </w:rPr>
              <w:t>主要内容和研究框架；3.</w:t>
            </w:r>
            <w:r>
              <w:rPr>
                <w:rFonts w:hint="eastAsia" w:ascii="方正仿宋_GBK" w:hAnsi="方正仿宋_GBK" w:eastAsia="方正仿宋_GBK" w:cs="方正仿宋_GBK"/>
                <w:b w:val="0"/>
                <w:bCs w:val="0"/>
                <w:i w:val="0"/>
                <w:iCs w:val="0"/>
                <w:color w:val="000000"/>
                <w:sz w:val="32"/>
                <w:szCs w:val="32"/>
                <w:u w:val="none"/>
                <w:lang w:val="en-US" w:eastAsia="zh-CN"/>
              </w:rPr>
              <w:t xml:space="preserve"> </w:t>
            </w:r>
            <w:r>
              <w:rPr>
                <w:rFonts w:hint="eastAsia" w:ascii="方正仿宋_GBK" w:hAnsi="方正仿宋_GBK" w:eastAsia="方正仿宋_GBK" w:cs="方正仿宋_GBK"/>
                <w:b w:val="0"/>
                <w:bCs w:val="0"/>
                <w:i w:val="0"/>
                <w:iCs w:val="0"/>
                <w:color w:val="000000"/>
                <w:sz w:val="32"/>
                <w:szCs w:val="32"/>
                <w:u w:val="none"/>
                <w:lang w:eastAsia="zh-CN"/>
              </w:rPr>
              <w:t>课题的亮点及对</w:t>
            </w:r>
            <w:r>
              <w:rPr>
                <w:rFonts w:hint="eastAsia" w:ascii="方正仿宋_GBK" w:hAnsi="方正仿宋_GBK" w:eastAsia="方正仿宋_GBK" w:cs="方正仿宋_GBK"/>
                <w:b w:val="0"/>
                <w:bCs w:val="0"/>
                <w:i w:val="0"/>
                <w:iCs w:val="0"/>
                <w:color w:val="000000"/>
                <w:sz w:val="32"/>
                <w:szCs w:val="32"/>
                <w:u w:val="none"/>
                <w:lang w:val="en-US" w:eastAsia="zh-CN"/>
              </w:rPr>
              <w:t>临港新片区</w:t>
            </w:r>
            <w:r>
              <w:rPr>
                <w:rFonts w:hint="eastAsia" w:ascii="方正仿宋_GBK" w:hAnsi="方正仿宋_GBK" w:eastAsia="方正仿宋_GBK" w:cs="方正仿宋_GBK"/>
                <w:b w:val="0"/>
                <w:bCs w:val="0"/>
                <w:i w:val="0"/>
                <w:iCs w:val="0"/>
                <w:color w:val="000000"/>
                <w:sz w:val="32"/>
                <w:szCs w:val="32"/>
                <w:u w:val="none"/>
                <w:lang w:eastAsia="zh-CN"/>
              </w:rPr>
              <w:t>经济社会改革发展的实际价值；4.</w:t>
            </w:r>
            <w:r>
              <w:rPr>
                <w:rFonts w:hint="eastAsia" w:ascii="方正仿宋_GBK" w:hAnsi="方正仿宋_GBK" w:eastAsia="方正仿宋_GBK" w:cs="方正仿宋_GBK"/>
                <w:b w:val="0"/>
                <w:bCs w:val="0"/>
                <w:i w:val="0"/>
                <w:iCs w:val="0"/>
                <w:color w:val="000000"/>
                <w:sz w:val="32"/>
                <w:szCs w:val="32"/>
                <w:u w:val="none"/>
                <w:lang w:val="en-US" w:eastAsia="zh-CN"/>
              </w:rPr>
              <w:t xml:space="preserve"> </w:t>
            </w:r>
            <w:r>
              <w:rPr>
                <w:rFonts w:hint="eastAsia" w:ascii="方正仿宋_GBK" w:hAnsi="方正仿宋_GBK" w:eastAsia="方正仿宋_GBK" w:cs="方正仿宋_GBK"/>
                <w:b w:val="0"/>
                <w:bCs w:val="0"/>
                <w:i w:val="0"/>
                <w:iCs w:val="0"/>
                <w:color w:val="000000"/>
                <w:sz w:val="32"/>
                <w:szCs w:val="32"/>
                <w:u w:val="none"/>
                <w:lang w:eastAsia="zh-CN"/>
              </w:rPr>
              <w:t>研究方法和手段。限3000字以内。）</w:t>
            </w:r>
          </w:p>
        </w:tc>
      </w:tr>
      <w:tr w14:paraId="399A7AD3">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5E3B3C46">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5BEAA11D">
            <w:pPr>
              <w:jc w:val="center"/>
              <w:rPr>
                <w:rFonts w:hint="eastAsia" w:ascii="方正仿宋_GBK" w:hAnsi="方正仿宋_GBK" w:eastAsia="方正仿宋_GBK" w:cs="方正仿宋_GBK"/>
                <w:i w:val="0"/>
                <w:iCs w:val="0"/>
                <w:color w:val="000000"/>
                <w:sz w:val="32"/>
                <w:szCs w:val="32"/>
                <w:u w:val="none"/>
              </w:rPr>
            </w:pPr>
          </w:p>
        </w:tc>
      </w:tr>
      <w:tr w14:paraId="1DEDB077">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1EF06E4C">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7737D709">
            <w:pPr>
              <w:jc w:val="center"/>
              <w:rPr>
                <w:rFonts w:hint="eastAsia" w:ascii="方正仿宋_GBK" w:hAnsi="方正仿宋_GBK" w:eastAsia="方正仿宋_GBK" w:cs="方正仿宋_GBK"/>
                <w:i w:val="0"/>
                <w:iCs w:val="0"/>
                <w:color w:val="000000"/>
                <w:sz w:val="32"/>
                <w:szCs w:val="32"/>
                <w:u w:val="none"/>
              </w:rPr>
            </w:pPr>
          </w:p>
        </w:tc>
      </w:tr>
      <w:tr w14:paraId="5A2E6BC3">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16DCA775">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155F574D">
            <w:pPr>
              <w:jc w:val="center"/>
              <w:rPr>
                <w:rFonts w:hint="eastAsia" w:ascii="方正仿宋_GBK" w:hAnsi="方正仿宋_GBK" w:eastAsia="方正仿宋_GBK" w:cs="方正仿宋_GBK"/>
                <w:i w:val="0"/>
                <w:iCs w:val="0"/>
                <w:color w:val="000000"/>
                <w:sz w:val="32"/>
                <w:szCs w:val="32"/>
                <w:u w:val="none"/>
              </w:rPr>
            </w:pPr>
          </w:p>
        </w:tc>
      </w:tr>
      <w:tr w14:paraId="0940F6AC">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53B9F848">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41EDD78C">
            <w:pPr>
              <w:jc w:val="center"/>
              <w:rPr>
                <w:rFonts w:hint="eastAsia" w:ascii="方正仿宋_GBK" w:hAnsi="方正仿宋_GBK" w:eastAsia="方正仿宋_GBK" w:cs="方正仿宋_GBK"/>
                <w:i w:val="0"/>
                <w:iCs w:val="0"/>
                <w:color w:val="000000"/>
                <w:sz w:val="32"/>
                <w:szCs w:val="32"/>
                <w:u w:val="none"/>
              </w:rPr>
            </w:pPr>
          </w:p>
        </w:tc>
      </w:tr>
      <w:tr w14:paraId="61164172">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3820283A">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59F8EC91">
            <w:pPr>
              <w:jc w:val="center"/>
              <w:rPr>
                <w:rFonts w:hint="eastAsia" w:ascii="方正仿宋_GBK" w:hAnsi="方正仿宋_GBK" w:eastAsia="方正仿宋_GBK" w:cs="方正仿宋_GBK"/>
                <w:i w:val="0"/>
                <w:iCs w:val="0"/>
                <w:color w:val="000000"/>
                <w:sz w:val="32"/>
                <w:szCs w:val="32"/>
                <w:u w:val="none"/>
              </w:rPr>
            </w:pPr>
          </w:p>
        </w:tc>
      </w:tr>
      <w:tr w14:paraId="22D18A07">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32412A53">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09B27604">
            <w:pPr>
              <w:jc w:val="center"/>
              <w:rPr>
                <w:rFonts w:hint="eastAsia" w:ascii="方正仿宋_GBK" w:hAnsi="方正仿宋_GBK" w:eastAsia="方正仿宋_GBK" w:cs="方正仿宋_GBK"/>
                <w:i w:val="0"/>
                <w:iCs w:val="0"/>
                <w:color w:val="000000"/>
                <w:sz w:val="32"/>
                <w:szCs w:val="32"/>
                <w:u w:val="none"/>
              </w:rPr>
            </w:pPr>
          </w:p>
        </w:tc>
      </w:tr>
      <w:tr w14:paraId="2E6A3651">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53E5DA1D">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5986338E">
            <w:pPr>
              <w:jc w:val="center"/>
              <w:rPr>
                <w:rFonts w:hint="eastAsia" w:ascii="方正仿宋_GBK" w:hAnsi="方正仿宋_GBK" w:eastAsia="方正仿宋_GBK" w:cs="方正仿宋_GBK"/>
                <w:i w:val="0"/>
                <w:iCs w:val="0"/>
                <w:color w:val="000000"/>
                <w:sz w:val="32"/>
                <w:szCs w:val="32"/>
                <w:u w:val="none"/>
              </w:rPr>
            </w:pPr>
          </w:p>
        </w:tc>
      </w:tr>
      <w:tr w14:paraId="0EC4A673">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60A81BA7">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6EEF5155">
            <w:pPr>
              <w:jc w:val="center"/>
              <w:rPr>
                <w:rFonts w:hint="eastAsia" w:ascii="方正仿宋_GBK" w:hAnsi="方正仿宋_GBK" w:eastAsia="方正仿宋_GBK" w:cs="方正仿宋_GBK"/>
                <w:i w:val="0"/>
                <w:iCs w:val="0"/>
                <w:color w:val="000000"/>
                <w:sz w:val="32"/>
                <w:szCs w:val="32"/>
                <w:u w:val="none"/>
              </w:rPr>
            </w:pPr>
          </w:p>
        </w:tc>
      </w:tr>
      <w:tr w14:paraId="339CD25A">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336" w:hRule="atLeast"/>
        </w:trPr>
        <w:tc>
          <w:tcPr>
            <w:tcW w:w="1851" w:type="dxa"/>
            <w:vMerge w:val="continue"/>
            <w:tcBorders>
              <w:tl2br w:val="nil"/>
              <w:tr2bl w:val="nil"/>
            </w:tcBorders>
            <w:shd w:val="clear" w:color="auto" w:fill="auto"/>
            <w:vAlign w:val="center"/>
          </w:tcPr>
          <w:p w14:paraId="653989BF">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544DECF9">
            <w:pPr>
              <w:jc w:val="center"/>
              <w:rPr>
                <w:rFonts w:hint="eastAsia" w:ascii="方正仿宋_GBK" w:hAnsi="方正仿宋_GBK" w:eastAsia="方正仿宋_GBK" w:cs="方正仿宋_GBK"/>
                <w:i w:val="0"/>
                <w:iCs w:val="0"/>
                <w:color w:val="000000"/>
                <w:sz w:val="32"/>
                <w:szCs w:val="32"/>
                <w:u w:val="none"/>
              </w:rPr>
            </w:pPr>
          </w:p>
        </w:tc>
      </w:tr>
      <w:tr w14:paraId="20105CC3">
        <w:tblPrEx>
          <w:tblBorders>
            <w:top w:val="single" w:color="000000" w:sz="4" w:space="0"/>
            <w:left w:val="single" w:color="000000" w:sz="4" w:space="0"/>
            <w:bottom w:val="single" w:color="000000" w:sz="4" w:space="0"/>
            <w:right w:val="single" w:color="000000" w:sz="4" w:space="0"/>
            <w:insideH w:val="dotted" w:color="000000" w:sz="4" w:space="0"/>
            <w:insideV w:val="dotted" w:color="000000" w:sz="4" w:space="0"/>
          </w:tblBorders>
          <w:tblCellMar>
            <w:top w:w="0" w:type="dxa"/>
            <w:left w:w="108" w:type="dxa"/>
            <w:bottom w:w="0" w:type="dxa"/>
            <w:right w:w="108" w:type="dxa"/>
          </w:tblCellMar>
        </w:tblPrEx>
        <w:trPr>
          <w:trHeight w:val="7192" w:hRule="atLeast"/>
        </w:trPr>
        <w:tc>
          <w:tcPr>
            <w:tcW w:w="1851" w:type="dxa"/>
            <w:vMerge w:val="continue"/>
            <w:tcBorders>
              <w:tl2br w:val="nil"/>
              <w:tr2bl w:val="nil"/>
            </w:tcBorders>
            <w:shd w:val="clear" w:color="auto" w:fill="auto"/>
            <w:vAlign w:val="center"/>
          </w:tcPr>
          <w:p w14:paraId="5342623D">
            <w:pPr>
              <w:jc w:val="center"/>
              <w:rPr>
                <w:rFonts w:hint="eastAsia" w:ascii="方正仿宋_GBK" w:hAnsi="方正仿宋_GBK" w:eastAsia="方正仿宋_GBK" w:cs="方正仿宋_GBK"/>
                <w:i w:val="0"/>
                <w:iCs w:val="0"/>
                <w:color w:val="000000"/>
                <w:sz w:val="32"/>
                <w:szCs w:val="32"/>
                <w:u w:val="none"/>
              </w:rPr>
            </w:pPr>
          </w:p>
        </w:tc>
        <w:tc>
          <w:tcPr>
            <w:tcW w:w="7643" w:type="dxa"/>
            <w:gridSpan w:val="7"/>
            <w:vMerge w:val="continue"/>
            <w:tcBorders>
              <w:tl2br w:val="nil"/>
              <w:tr2bl w:val="nil"/>
            </w:tcBorders>
            <w:shd w:val="clear" w:color="auto" w:fill="auto"/>
            <w:noWrap/>
            <w:vAlign w:val="center"/>
          </w:tcPr>
          <w:p w14:paraId="6D41A289">
            <w:pPr>
              <w:jc w:val="center"/>
              <w:rPr>
                <w:rFonts w:hint="eastAsia" w:ascii="方正仿宋_GBK" w:hAnsi="方正仿宋_GBK" w:eastAsia="方正仿宋_GBK" w:cs="方正仿宋_GBK"/>
                <w:i w:val="0"/>
                <w:iCs w:val="0"/>
                <w:color w:val="000000"/>
                <w:sz w:val="32"/>
                <w:szCs w:val="32"/>
                <w:u w:val="none"/>
              </w:rPr>
            </w:pPr>
          </w:p>
        </w:tc>
      </w:tr>
    </w:tbl>
    <w:p w14:paraId="6B639608">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default" w:ascii="Times New Roman" w:hAnsi="Times New Roman" w:eastAsia="方正仿宋_GBK" w:cs="Times New Roman"/>
          <w:sz w:val="36"/>
          <w:szCs w:val="36"/>
          <w:lang w:val="en-US" w:eastAsia="zh-CN"/>
        </w:rPr>
      </w:pPr>
    </w:p>
    <w:sectPr>
      <w:footerReference r:id="rId4" w:type="default"/>
      <w:pgSz w:w="11906" w:h="16838"/>
      <w:pgMar w:top="2098" w:right="1587" w:bottom="1984" w:left="1587" w:header="851" w:footer="992" w:gutter="0"/>
      <w:pgNumType w:fmt="decimal" w:start="6"/>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1" w:fontKey="{2CDD1E4D-2E07-4374-9B5B-9666D5FD5432}"/>
  </w:font>
  <w:font w:name="方正黑体_GBK">
    <w:panose1 w:val="02010600010101010101"/>
    <w:charset w:val="86"/>
    <w:family w:val="auto"/>
    <w:pitch w:val="default"/>
    <w:sig w:usb0="00000001" w:usb1="080E0000" w:usb2="00000000" w:usb3="00000000" w:csb0="00040000" w:csb1="00000000"/>
    <w:embedRegular r:id="rId2" w:fontKey="{CB9269CF-319F-44A7-AA94-52B7E6EE83E5}"/>
  </w:font>
  <w:font w:name="Times New Roman Regular">
    <w:altName w:val="Times New Roman"/>
    <w:panose1 w:val="02020503050405090304"/>
    <w:charset w:val="00"/>
    <w:family w:val="auto"/>
    <w:pitch w:val="default"/>
    <w:sig w:usb0="00000000" w:usb1="00000000" w:usb2="00000001" w:usb3="00000000" w:csb0="400001BF" w:csb1="DFF70000"/>
    <w:embedRegular r:id="rId3" w:fontKey="{74FAC7C8-492E-454D-8499-28C45E527051}"/>
  </w:font>
  <w:font w:name="方正仿宋_GBK">
    <w:panose1 w:val="02000000000000000000"/>
    <w:charset w:val="86"/>
    <w:family w:val="auto"/>
    <w:pitch w:val="default"/>
    <w:sig w:usb0="A00002BF" w:usb1="38CF7CFA" w:usb2="00082016" w:usb3="00000000" w:csb0="00040001" w:csb1="00000000"/>
    <w:embedRegular r:id="rId4" w:fontKey="{DC8811C5-9B35-4178-B92F-BCEA9245F47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F1CE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0A45A4">
                          <w:pPr>
                            <w:pStyle w:val="2"/>
                            <w:rPr>
                              <w:rFonts w:hint="default" w:ascii="Times New Roman Regular" w:hAnsi="Times New Roman Regular" w:cs="Times New Roman Regular"/>
                              <w:sz w:val="28"/>
                              <w:szCs w:val="44"/>
                            </w:rPr>
                          </w:pPr>
                          <w:r>
                            <w:rPr>
                              <w:rFonts w:hint="default" w:ascii="Times New Roman Regular" w:hAnsi="Times New Roman Regular" w:cs="Times New Roman Regular"/>
                              <w:sz w:val="28"/>
                              <w:szCs w:val="44"/>
                            </w:rPr>
                            <w:t xml:space="preserve">— </w:t>
                          </w:r>
                          <w:r>
                            <w:rPr>
                              <w:rFonts w:hint="default" w:ascii="Times New Roman Regular" w:hAnsi="Times New Roman Regular" w:cs="Times New Roman Regular"/>
                              <w:sz w:val="28"/>
                              <w:szCs w:val="44"/>
                            </w:rPr>
                            <w:fldChar w:fldCharType="begin"/>
                          </w:r>
                          <w:r>
                            <w:rPr>
                              <w:rFonts w:hint="default" w:ascii="Times New Roman Regular" w:hAnsi="Times New Roman Regular" w:cs="Times New Roman Regular"/>
                              <w:sz w:val="28"/>
                              <w:szCs w:val="44"/>
                            </w:rPr>
                            <w:instrText xml:space="preserve"> PAGE  \* MERGEFORMAT </w:instrText>
                          </w:r>
                          <w:r>
                            <w:rPr>
                              <w:rFonts w:hint="default" w:ascii="Times New Roman Regular" w:hAnsi="Times New Roman Regular" w:cs="Times New Roman Regular"/>
                              <w:sz w:val="28"/>
                              <w:szCs w:val="44"/>
                            </w:rPr>
                            <w:fldChar w:fldCharType="separate"/>
                          </w:r>
                          <w:r>
                            <w:rPr>
                              <w:rFonts w:hint="default" w:ascii="Times New Roman Regular" w:hAnsi="Times New Roman Regular" w:cs="Times New Roman Regular"/>
                              <w:sz w:val="28"/>
                              <w:szCs w:val="44"/>
                            </w:rPr>
                            <w:t>1</w:t>
                          </w:r>
                          <w:r>
                            <w:rPr>
                              <w:rFonts w:hint="default" w:ascii="Times New Roman Regular" w:hAnsi="Times New Roman Regular" w:cs="Times New Roman Regular"/>
                              <w:sz w:val="28"/>
                              <w:szCs w:val="44"/>
                            </w:rPr>
                            <w:fldChar w:fldCharType="end"/>
                          </w:r>
                          <w:r>
                            <w:rPr>
                              <w:rFonts w:hint="default" w:ascii="Times New Roman Regular" w:hAnsi="Times New Roman Regular" w:cs="Times New Roman Regular"/>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D0A45A4">
                    <w:pPr>
                      <w:pStyle w:val="2"/>
                      <w:rPr>
                        <w:rFonts w:hint="default" w:ascii="Times New Roman Regular" w:hAnsi="Times New Roman Regular" w:cs="Times New Roman Regular"/>
                        <w:sz w:val="28"/>
                        <w:szCs w:val="44"/>
                      </w:rPr>
                    </w:pPr>
                    <w:r>
                      <w:rPr>
                        <w:rFonts w:hint="default" w:ascii="Times New Roman Regular" w:hAnsi="Times New Roman Regular" w:cs="Times New Roman Regular"/>
                        <w:sz w:val="28"/>
                        <w:szCs w:val="44"/>
                      </w:rPr>
                      <w:t xml:space="preserve">— </w:t>
                    </w:r>
                    <w:r>
                      <w:rPr>
                        <w:rFonts w:hint="default" w:ascii="Times New Roman Regular" w:hAnsi="Times New Roman Regular" w:cs="Times New Roman Regular"/>
                        <w:sz w:val="28"/>
                        <w:szCs w:val="44"/>
                      </w:rPr>
                      <w:fldChar w:fldCharType="begin"/>
                    </w:r>
                    <w:r>
                      <w:rPr>
                        <w:rFonts w:hint="default" w:ascii="Times New Roman Regular" w:hAnsi="Times New Roman Regular" w:cs="Times New Roman Regular"/>
                        <w:sz w:val="28"/>
                        <w:szCs w:val="44"/>
                      </w:rPr>
                      <w:instrText xml:space="preserve"> PAGE  \* MERGEFORMAT </w:instrText>
                    </w:r>
                    <w:r>
                      <w:rPr>
                        <w:rFonts w:hint="default" w:ascii="Times New Roman Regular" w:hAnsi="Times New Roman Regular" w:cs="Times New Roman Regular"/>
                        <w:sz w:val="28"/>
                        <w:szCs w:val="44"/>
                      </w:rPr>
                      <w:fldChar w:fldCharType="separate"/>
                    </w:r>
                    <w:r>
                      <w:rPr>
                        <w:rFonts w:hint="default" w:ascii="Times New Roman Regular" w:hAnsi="Times New Roman Regular" w:cs="Times New Roman Regular"/>
                        <w:sz w:val="28"/>
                        <w:szCs w:val="44"/>
                      </w:rPr>
                      <w:t>1</w:t>
                    </w:r>
                    <w:r>
                      <w:rPr>
                        <w:rFonts w:hint="default" w:ascii="Times New Roman Regular" w:hAnsi="Times New Roman Regular" w:cs="Times New Roman Regular"/>
                        <w:sz w:val="28"/>
                        <w:szCs w:val="44"/>
                      </w:rPr>
                      <w:fldChar w:fldCharType="end"/>
                    </w:r>
                    <w:r>
                      <w:rPr>
                        <w:rFonts w:hint="default" w:ascii="Times New Roman Regular" w:hAnsi="Times New Roman Regular" w:cs="Times New Roman Regular"/>
                        <w:sz w:val="28"/>
                        <w:szCs w:val="44"/>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64F70">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389483">
                          <w:pPr>
                            <w:pStyle w:val="2"/>
                            <w:rPr>
                              <w:rFonts w:hint="default" w:ascii="Times New Roman Regular" w:hAnsi="Times New Roman Regular" w:cs="Times New Roman Regular"/>
                              <w:sz w:val="28"/>
                              <w:szCs w:val="44"/>
                            </w:rPr>
                          </w:pPr>
                          <w:r>
                            <w:rPr>
                              <w:rFonts w:hint="default" w:ascii="Times New Roman Regular" w:hAnsi="Times New Roman Regular" w:cs="Times New Roman Regular"/>
                              <w:sz w:val="28"/>
                              <w:szCs w:val="44"/>
                            </w:rPr>
                            <w:t xml:space="preserve">— </w:t>
                          </w:r>
                          <w:r>
                            <w:rPr>
                              <w:rFonts w:hint="default" w:ascii="Times New Roman Regular" w:hAnsi="Times New Roman Regular" w:cs="Times New Roman Regular"/>
                              <w:sz w:val="28"/>
                              <w:szCs w:val="44"/>
                            </w:rPr>
                            <w:fldChar w:fldCharType="begin"/>
                          </w:r>
                          <w:r>
                            <w:rPr>
                              <w:rFonts w:hint="default" w:ascii="Times New Roman Regular" w:hAnsi="Times New Roman Regular" w:cs="Times New Roman Regular"/>
                              <w:sz w:val="28"/>
                              <w:szCs w:val="44"/>
                            </w:rPr>
                            <w:instrText xml:space="preserve"> PAGE  \* MERGEFORMAT </w:instrText>
                          </w:r>
                          <w:r>
                            <w:rPr>
                              <w:rFonts w:hint="default" w:ascii="Times New Roman Regular" w:hAnsi="Times New Roman Regular" w:cs="Times New Roman Regular"/>
                              <w:sz w:val="28"/>
                              <w:szCs w:val="44"/>
                            </w:rPr>
                            <w:fldChar w:fldCharType="separate"/>
                          </w:r>
                          <w:r>
                            <w:rPr>
                              <w:rFonts w:hint="default" w:ascii="Times New Roman Regular" w:hAnsi="Times New Roman Regular" w:cs="Times New Roman Regular"/>
                              <w:sz w:val="28"/>
                              <w:szCs w:val="44"/>
                            </w:rPr>
                            <w:t>1</w:t>
                          </w:r>
                          <w:r>
                            <w:rPr>
                              <w:rFonts w:hint="default" w:ascii="Times New Roman Regular" w:hAnsi="Times New Roman Regular" w:cs="Times New Roman Regular"/>
                              <w:sz w:val="28"/>
                              <w:szCs w:val="44"/>
                            </w:rPr>
                            <w:fldChar w:fldCharType="end"/>
                          </w:r>
                          <w:r>
                            <w:rPr>
                              <w:rFonts w:hint="default" w:ascii="Times New Roman Regular" w:hAnsi="Times New Roman Regular" w:cs="Times New Roman Regular"/>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C389483">
                    <w:pPr>
                      <w:pStyle w:val="2"/>
                      <w:rPr>
                        <w:rFonts w:hint="default" w:ascii="Times New Roman Regular" w:hAnsi="Times New Roman Regular" w:cs="Times New Roman Regular"/>
                        <w:sz w:val="28"/>
                        <w:szCs w:val="44"/>
                      </w:rPr>
                    </w:pPr>
                    <w:r>
                      <w:rPr>
                        <w:rFonts w:hint="default" w:ascii="Times New Roman Regular" w:hAnsi="Times New Roman Regular" w:cs="Times New Roman Regular"/>
                        <w:sz w:val="28"/>
                        <w:szCs w:val="44"/>
                      </w:rPr>
                      <w:t xml:space="preserve">— </w:t>
                    </w:r>
                    <w:r>
                      <w:rPr>
                        <w:rFonts w:hint="default" w:ascii="Times New Roman Regular" w:hAnsi="Times New Roman Regular" w:cs="Times New Roman Regular"/>
                        <w:sz w:val="28"/>
                        <w:szCs w:val="44"/>
                      </w:rPr>
                      <w:fldChar w:fldCharType="begin"/>
                    </w:r>
                    <w:r>
                      <w:rPr>
                        <w:rFonts w:hint="default" w:ascii="Times New Roman Regular" w:hAnsi="Times New Roman Regular" w:cs="Times New Roman Regular"/>
                        <w:sz w:val="28"/>
                        <w:szCs w:val="44"/>
                      </w:rPr>
                      <w:instrText xml:space="preserve"> PAGE  \* MERGEFORMAT </w:instrText>
                    </w:r>
                    <w:r>
                      <w:rPr>
                        <w:rFonts w:hint="default" w:ascii="Times New Roman Regular" w:hAnsi="Times New Roman Regular" w:cs="Times New Roman Regular"/>
                        <w:sz w:val="28"/>
                        <w:szCs w:val="44"/>
                      </w:rPr>
                      <w:fldChar w:fldCharType="separate"/>
                    </w:r>
                    <w:r>
                      <w:rPr>
                        <w:rFonts w:hint="default" w:ascii="Times New Roman Regular" w:hAnsi="Times New Roman Regular" w:cs="Times New Roman Regular"/>
                        <w:sz w:val="28"/>
                        <w:szCs w:val="44"/>
                      </w:rPr>
                      <w:t>1</w:t>
                    </w:r>
                    <w:r>
                      <w:rPr>
                        <w:rFonts w:hint="default" w:ascii="Times New Roman Regular" w:hAnsi="Times New Roman Regular" w:cs="Times New Roman Regular"/>
                        <w:sz w:val="28"/>
                        <w:szCs w:val="44"/>
                      </w:rPr>
                      <w:fldChar w:fldCharType="end"/>
                    </w:r>
                    <w:r>
                      <w:rPr>
                        <w:rFonts w:hint="default" w:ascii="Times New Roman Regular" w:hAnsi="Times New Roman Regular" w:cs="Times New Roman Regular"/>
                        <w:sz w:val="28"/>
                        <w:szCs w:val="4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wNzJlM2QzYmE3ZjdlNWNlMjZiMmVkZGY4Y2ViNjEifQ=="/>
  </w:docVars>
  <w:rsids>
    <w:rsidRoot w:val="7E17F607"/>
    <w:rsid w:val="095742E5"/>
    <w:rsid w:val="0B246449"/>
    <w:rsid w:val="0B9873F1"/>
    <w:rsid w:val="0C1B40EA"/>
    <w:rsid w:val="0F235BE2"/>
    <w:rsid w:val="105F0547"/>
    <w:rsid w:val="13390EFF"/>
    <w:rsid w:val="16DD2110"/>
    <w:rsid w:val="1783099B"/>
    <w:rsid w:val="1E5866DD"/>
    <w:rsid w:val="1FD106F6"/>
    <w:rsid w:val="21EF55AB"/>
    <w:rsid w:val="297840D8"/>
    <w:rsid w:val="2ABF1892"/>
    <w:rsid w:val="2D9A265E"/>
    <w:rsid w:val="2FFBEB1E"/>
    <w:rsid w:val="34620057"/>
    <w:rsid w:val="38F44DFD"/>
    <w:rsid w:val="3E0834D2"/>
    <w:rsid w:val="3F7777FB"/>
    <w:rsid w:val="403D352D"/>
    <w:rsid w:val="4044666A"/>
    <w:rsid w:val="41962EF5"/>
    <w:rsid w:val="43040332"/>
    <w:rsid w:val="438D07A3"/>
    <w:rsid w:val="440B306C"/>
    <w:rsid w:val="474D674C"/>
    <w:rsid w:val="476063A8"/>
    <w:rsid w:val="4B563BCA"/>
    <w:rsid w:val="4C756864"/>
    <w:rsid w:val="4FB629B4"/>
    <w:rsid w:val="507D57E4"/>
    <w:rsid w:val="51A52CE0"/>
    <w:rsid w:val="51CE0489"/>
    <w:rsid w:val="532C6E7B"/>
    <w:rsid w:val="54AF45A2"/>
    <w:rsid w:val="5C313755"/>
    <w:rsid w:val="5C7D4F86"/>
    <w:rsid w:val="5DDDF9DA"/>
    <w:rsid w:val="5FEE89BA"/>
    <w:rsid w:val="618172C6"/>
    <w:rsid w:val="622B0FE0"/>
    <w:rsid w:val="66A9F4AE"/>
    <w:rsid w:val="67956031"/>
    <w:rsid w:val="6AEF1A4F"/>
    <w:rsid w:val="6DC5678C"/>
    <w:rsid w:val="6E5D23A8"/>
    <w:rsid w:val="6FB40867"/>
    <w:rsid w:val="6FB7C603"/>
    <w:rsid w:val="73742958"/>
    <w:rsid w:val="73F43927"/>
    <w:rsid w:val="7777B83A"/>
    <w:rsid w:val="77DEBECC"/>
    <w:rsid w:val="7BAF9DAB"/>
    <w:rsid w:val="7D3FDBC3"/>
    <w:rsid w:val="7DF7DF6D"/>
    <w:rsid w:val="7E17F607"/>
    <w:rsid w:val="7FE5E7F7"/>
    <w:rsid w:val="A58F5233"/>
    <w:rsid w:val="BBFF999F"/>
    <w:rsid w:val="BEDB8E79"/>
    <w:rsid w:val="DBF7CDE1"/>
    <w:rsid w:val="EE571BD2"/>
    <w:rsid w:val="EFCDDBE0"/>
    <w:rsid w:val="F7BC7FD6"/>
    <w:rsid w:val="F7DCFCEB"/>
    <w:rsid w:val="F9F7600C"/>
    <w:rsid w:val="F9FBC86A"/>
    <w:rsid w:val="FE9F57BE"/>
    <w:rsid w:val="FF7B01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2247</Words>
  <Characters>2293</Characters>
  <Lines>0</Lines>
  <Paragraphs>0</Paragraphs>
  <TotalTime>2</TotalTime>
  <ScaleCrop>false</ScaleCrop>
  <LinksUpToDate>false</LinksUpToDate>
  <CharactersWithSpaces>2297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2025-03-02T18:20:00Z</dcterms:created>
  <dc:creator>方文瑞</dc:creator>
  <cp:lastModifiedBy>赵珉珈</cp:lastModifiedBy>
  <cp:lastPrinted>2026-04-01T08:13:00Z</cp:lastPrinted>
  <dcterms:modified xsi:type="dcterms:W3CDTF">2026-04-02T08:00:55Z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A632E54BFEFA45A5A2A67EC992664D3E_13</vt:lpwstr>
  </property>
  <property fmtid="{D5CDD505-2E9C-101B-9397-08002B2CF9AE}" pid="4" name="KSOTemplateDocerSaveRecord">
    <vt:lpwstr>eyJoZGlkIjoiOWQzZTQwMWRlYjgyZmFlYzZhYTcxM2M2MmFjMWU2ZTQiLCJ1c2VySWQiOiIzMDIxODE4NzgifQ==</vt:lpwstr>
  </property>
</Properties>
</file>