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03B" w:rsidRDefault="006A2B01">
      <w:pPr>
        <w:adjustRightInd w:val="0"/>
        <w:snapToGrid w:val="0"/>
        <w:spacing w:line="600" w:lineRule="exact"/>
        <w:rPr>
          <w:rFonts w:ascii="Times New Roman" w:eastAsia="方正小标宋_GBK" w:hAnsi="Times New Roman"/>
          <w:sz w:val="32"/>
          <w:szCs w:val="32"/>
        </w:rPr>
      </w:pPr>
      <w:r>
        <w:rPr>
          <w:rFonts w:ascii="Times New Roman" w:eastAsia="方正小标宋_GBK" w:hAnsi="Times New Roman"/>
          <w:sz w:val="32"/>
          <w:szCs w:val="32"/>
        </w:rPr>
        <w:t>附件</w:t>
      </w:r>
    </w:p>
    <w:p w:rsidR="0078103B" w:rsidRDefault="0078103B">
      <w:pPr>
        <w:adjustRightInd w:val="0"/>
        <w:snapToGrid w:val="0"/>
        <w:spacing w:line="600" w:lineRule="exact"/>
        <w:rPr>
          <w:rFonts w:ascii="Times New Roman" w:eastAsia="方正小标宋_GBK" w:hAnsi="Times New Roman"/>
          <w:sz w:val="32"/>
          <w:szCs w:val="32"/>
        </w:rPr>
      </w:pPr>
    </w:p>
    <w:p w:rsidR="0078103B" w:rsidRDefault="006A2B01">
      <w:pPr>
        <w:widowControl/>
        <w:adjustRightInd w:val="0"/>
        <w:snapToGrid w:val="0"/>
        <w:spacing w:line="600" w:lineRule="exact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小标宋_GBK" w:eastAsia="方正小标宋_GBK" w:hAnsi="Times New Roman"/>
          <w:sz w:val="44"/>
          <w:szCs w:val="44"/>
        </w:rPr>
        <w:t>中国（上海）自由贸易试验区临港新片区</w:t>
      </w:r>
    </w:p>
    <w:p w:rsidR="0078103B" w:rsidRDefault="006A2B01">
      <w:pPr>
        <w:widowControl/>
        <w:adjustRightInd w:val="0"/>
        <w:snapToGrid w:val="0"/>
        <w:spacing w:line="600" w:lineRule="exact"/>
        <w:jc w:val="center"/>
        <w:rPr>
          <w:rFonts w:ascii="方正楷体_GBK" w:eastAsia="方正楷体_GBK" w:hAnsi="方正楷体_GBK" w:cs="方正楷体_GBK"/>
          <w:sz w:val="44"/>
          <w:szCs w:val="44"/>
        </w:rPr>
      </w:pPr>
      <w:r>
        <w:rPr>
          <w:rFonts w:ascii="方正小标宋_GBK" w:eastAsia="方正小标宋_GBK" w:hAnsi="Times New Roman"/>
          <w:sz w:val="44"/>
          <w:szCs w:val="44"/>
        </w:rPr>
        <w:t>生物医药领域数据跨境场景化一般数据清单</w:t>
      </w:r>
      <w:r>
        <w:rPr>
          <w:rFonts w:ascii="方正楷体_GBK" w:eastAsia="方正楷体_GBK" w:hAnsi="方正楷体_GBK" w:cs="方正楷体_GBK" w:hint="eastAsia"/>
          <w:sz w:val="44"/>
          <w:szCs w:val="44"/>
        </w:rPr>
        <w:t>（试行）</w:t>
      </w:r>
    </w:p>
    <w:p w:rsidR="0078103B" w:rsidRDefault="0078103B">
      <w:pPr>
        <w:widowControl/>
        <w:adjustRightInd w:val="0"/>
        <w:snapToGrid w:val="0"/>
        <w:spacing w:line="600" w:lineRule="exact"/>
        <w:jc w:val="center"/>
        <w:rPr>
          <w:rFonts w:ascii="方正楷体_GBK" w:eastAsia="方正楷体_GBK" w:hAnsi="方正楷体_GBK" w:cs="方正楷体_GBK"/>
          <w:sz w:val="44"/>
          <w:szCs w:val="44"/>
        </w:rPr>
      </w:pPr>
    </w:p>
    <w:p w:rsidR="0078103B" w:rsidRDefault="006A2B01">
      <w:pPr>
        <w:pStyle w:val="ac"/>
        <w:numPr>
          <w:ilvl w:val="255"/>
          <w:numId w:val="0"/>
        </w:numPr>
        <w:adjustRightInd w:val="0"/>
        <w:snapToGrid w:val="0"/>
        <w:spacing w:beforeLines="50" w:before="156" w:afterLines="50" w:after="156" w:line="600" w:lineRule="exact"/>
        <w:contextualSpacing w:val="0"/>
        <w:jc w:val="center"/>
        <w:rPr>
          <w:rFonts w:ascii="方正小标宋_GBK" w:eastAsia="方正小标宋_GBK" w:hAnsi="Times New Roman"/>
          <w:sz w:val="44"/>
          <w:szCs w:val="44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说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 xml:space="preserve">  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明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一、</w:t>
      </w:r>
      <w:r>
        <w:rPr>
          <w:rFonts w:ascii="Times New Roman" w:eastAsia="方正仿宋_GBK" w:hAnsi="Times New Roman" w:hint="eastAsia"/>
          <w:sz w:val="32"/>
          <w:szCs w:val="32"/>
        </w:rPr>
        <w:t>“一般数据清单”</w:t>
      </w:r>
      <w:r>
        <w:rPr>
          <w:rFonts w:ascii="Times New Roman" w:eastAsia="方正仿宋_GBK" w:hAnsi="Times New Roman" w:hint="eastAsia"/>
          <w:sz w:val="32"/>
          <w:szCs w:val="32"/>
        </w:rPr>
        <w:t>适用于在中国（上海）自由贸易试验区及临港新片区范围内登记注册的，且在临港新片区开展数据跨境流动相关活动的从事研发、生产和销售与生物医学、医药学相关的药品、医疗器械、诊断试剂、生物制剂和相关服务的企业、事业单位、机构协会和组织等数据处理者，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但不适用于</w:t>
      </w:r>
      <w:r>
        <w:rPr>
          <w:rFonts w:ascii="Times New Roman" w:eastAsia="方正仿宋_GBK" w:hAnsi="Times New Roman" w:hint="eastAsia"/>
          <w:sz w:val="32"/>
          <w:szCs w:val="32"/>
        </w:rPr>
        <w:t>生物医药</w:t>
      </w:r>
      <w:r>
        <w:rPr>
          <w:rFonts w:ascii="Times New Roman" w:eastAsia="方正仿宋_GBK" w:hAnsi="Times New Roman"/>
          <w:sz w:val="32"/>
          <w:szCs w:val="32"/>
        </w:rPr>
        <w:t>领域关键信息基础设施运营者。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二、数据处理者在使用“一般数据清单”过程中，应符合《中国（上海）自由贸易试验区临港新片区数据跨境流动分类分级管理办法（试行）》中对一般数据的管理要求。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三、</w:t>
      </w:r>
      <w:r>
        <w:rPr>
          <w:rFonts w:ascii="Times New Roman" w:eastAsia="方正仿宋_GBK" w:hAnsi="Times New Roman"/>
          <w:sz w:val="32"/>
          <w:szCs w:val="32"/>
        </w:rPr>
        <w:t>将人类遗传资源信息向外国组织、个人及其设立或者实际控制的机构提供或者开放使用，不得危害我国公众健康、国家安全和社会公共利益；一般数据清单中，凡是涉及人类遗传资源信息的数据，数据处理者应当按照《中华人民共和国人类遗传资源管理条例</w:t>
      </w:r>
      <w:proofErr w:type="gramStart"/>
      <w:r>
        <w:rPr>
          <w:rFonts w:ascii="Times New Roman" w:eastAsia="方正仿宋_GBK" w:hAnsi="Times New Roman"/>
          <w:sz w:val="32"/>
          <w:szCs w:val="32"/>
        </w:rPr>
        <w:t>》</w:t>
      </w:r>
      <w:proofErr w:type="gramEnd"/>
      <w:r>
        <w:rPr>
          <w:rFonts w:ascii="Times New Roman" w:eastAsia="方正仿宋_GBK" w:hAnsi="Times New Roman"/>
          <w:sz w:val="32"/>
          <w:szCs w:val="32"/>
        </w:rPr>
        <w:t>规定，向</w:t>
      </w:r>
      <w:r>
        <w:rPr>
          <w:rFonts w:ascii="Times New Roman" w:eastAsia="方正仿宋_GBK" w:hAnsi="Times New Roman" w:hint="eastAsia"/>
          <w:sz w:val="32"/>
          <w:szCs w:val="32"/>
        </w:rPr>
        <w:t>国务院卫生健康</w:t>
      </w:r>
      <w:r>
        <w:rPr>
          <w:rFonts w:ascii="Times New Roman" w:eastAsia="方正仿宋_GBK" w:hAnsi="Times New Roman"/>
          <w:sz w:val="32"/>
          <w:szCs w:val="32"/>
        </w:rPr>
        <w:t>主管部门事先报告并提交信息备份。可能影响我国公众健康、国家安全和社会公共利益的，应当通过</w:t>
      </w:r>
      <w:r>
        <w:rPr>
          <w:rFonts w:ascii="Times New Roman" w:eastAsia="方正仿宋_GBK" w:hAnsi="Times New Roman" w:hint="eastAsia"/>
          <w:sz w:val="32"/>
          <w:szCs w:val="32"/>
        </w:rPr>
        <w:t>国务院卫生健康</w:t>
      </w:r>
      <w:r>
        <w:rPr>
          <w:rFonts w:ascii="Times New Roman" w:eastAsia="方正仿宋_GBK" w:hAnsi="Times New Roman"/>
          <w:sz w:val="32"/>
          <w:szCs w:val="32"/>
        </w:rPr>
        <w:t>主管</w:t>
      </w:r>
      <w:r>
        <w:rPr>
          <w:rFonts w:ascii="Times New Roman" w:eastAsia="方正仿宋_GBK" w:hAnsi="Times New Roman"/>
          <w:sz w:val="32"/>
          <w:szCs w:val="32"/>
        </w:rPr>
        <w:t>部门组织的安全审查。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四、</w:t>
      </w:r>
      <w:r>
        <w:rPr>
          <w:rFonts w:ascii="Times New Roman" w:eastAsia="方正仿宋_GBK" w:hAnsi="Times New Roman"/>
          <w:sz w:val="32"/>
          <w:szCs w:val="32"/>
        </w:rPr>
        <w:t>数据处理者向境外提供个人信息的，应当按照法律、行政法规的规定履行告知、取得个人单独同意、进行个人信息保护影响评估等义务。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五、“一般数据清单”中涉及个人信息的，应满足数据处理者自当年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  <w:r>
        <w:rPr>
          <w:rFonts w:ascii="Times New Roman" w:eastAsia="方正仿宋_GBK" w:hAnsi="Times New Roman" w:hint="eastAsia"/>
          <w:sz w:val="32"/>
          <w:szCs w:val="32"/>
        </w:rPr>
        <w:t>日起累计向境外提供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不满</w:t>
      </w:r>
      <w:r>
        <w:rPr>
          <w:rFonts w:ascii="Times New Roman" w:eastAsia="方正仿宋_GBK" w:hAnsi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hint="eastAsia"/>
          <w:sz w:val="32"/>
          <w:szCs w:val="32"/>
        </w:rPr>
        <w:t>万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人个人信息（不含敏感个人信息）</w:t>
      </w:r>
      <w:r>
        <w:rPr>
          <w:rFonts w:ascii="Times New Roman" w:eastAsia="方正仿宋_GBK" w:hAnsi="Times New Roman"/>
          <w:sz w:val="32"/>
          <w:szCs w:val="32"/>
        </w:rPr>
        <w:t>。</w:t>
      </w:r>
    </w:p>
    <w:p w:rsidR="0078103B" w:rsidRDefault="006A2B01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六、“一般数据清单”不包含法律、行政法规、部门规章等规定的其他可能危害或影响国家政治、国土、军事、经济、文化、社会、科技、电磁空间、网络、生态、资源、核、海外利益、太空、极地、深海、生物、人工智能等国家利益安全的数据。</w:t>
      </w:r>
    </w:p>
    <w:p w:rsidR="0078103B" w:rsidRDefault="0078103B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</w:p>
    <w:p w:rsidR="0078103B" w:rsidRDefault="0078103B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</w:p>
    <w:p w:rsidR="0078103B" w:rsidRDefault="0078103B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</w:p>
    <w:p w:rsidR="0078103B" w:rsidRDefault="0078103B">
      <w:pPr>
        <w:pStyle w:val="ac"/>
        <w:adjustRightInd w:val="0"/>
        <w:snapToGrid w:val="0"/>
        <w:spacing w:line="600" w:lineRule="exact"/>
        <w:ind w:firstLineChars="200" w:firstLine="640"/>
        <w:contextualSpacing w:val="0"/>
        <w:rPr>
          <w:rFonts w:ascii="Times New Roman" w:eastAsia="方正仿宋_GBK" w:hAnsi="Times New Roman"/>
          <w:sz w:val="32"/>
          <w:szCs w:val="32"/>
        </w:rPr>
      </w:pPr>
    </w:p>
    <w:p w:rsidR="0078103B" w:rsidRDefault="0078103B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D91F7D" w:rsidRDefault="00D91F7D">
      <w:pPr>
        <w:adjustRightInd w:val="0"/>
        <w:snapToGrid w:val="0"/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</w:p>
    <w:p w:rsidR="0078103B" w:rsidRDefault="006A2B01">
      <w:pPr>
        <w:pStyle w:val="ac"/>
        <w:numPr>
          <w:ilvl w:val="255"/>
          <w:numId w:val="0"/>
        </w:numPr>
        <w:adjustRightInd w:val="0"/>
        <w:snapToGrid w:val="0"/>
        <w:spacing w:beforeLines="50" w:before="156" w:afterLines="50" w:after="156" w:line="600" w:lineRule="exact"/>
        <w:contextualSpacing w:val="0"/>
        <w:jc w:val="center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跨境场景及一般数据清单内容</w:t>
      </w:r>
    </w:p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场景</w:t>
      </w:r>
      <w:proofErr w:type="gramStart"/>
      <w:r>
        <w:rPr>
          <w:rFonts w:ascii="Times New Roman" w:eastAsia="方正楷体_GBK" w:hAnsi="Times New Roman"/>
          <w:sz w:val="32"/>
          <w:szCs w:val="32"/>
        </w:rPr>
        <w:t>一</w:t>
      </w:r>
      <w:proofErr w:type="gramEnd"/>
      <w:r>
        <w:rPr>
          <w:rFonts w:ascii="Times New Roman" w:eastAsia="方正楷体_GBK" w:hAnsi="Times New Roman"/>
          <w:sz w:val="32"/>
          <w:szCs w:val="32"/>
        </w:rPr>
        <w:t>：</w:t>
      </w:r>
      <w:r>
        <w:rPr>
          <w:rFonts w:ascii="Times New Roman" w:eastAsia="方正楷体_GBK" w:hAnsi="Times New Roman" w:hint="eastAsia"/>
          <w:sz w:val="32"/>
          <w:szCs w:val="32"/>
        </w:rPr>
        <w:t>临床试验和研发</w:t>
      </w:r>
    </w:p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场景简介：</w:t>
      </w:r>
      <w:r>
        <w:rPr>
          <w:rFonts w:ascii="Times New Roman" w:eastAsia="方正仿宋_GBK" w:hAnsi="Times New Roman" w:hint="eastAsia"/>
          <w:sz w:val="32"/>
          <w:szCs w:val="32"/>
        </w:rPr>
        <w:t>为开展国际多中心临床试验等研发活动，研究开发创新药物、器械等，需要跨境流动的临床试验和研发数据，主要包括去标识化受试者的个人基本资料、生理健康信息，以及研究者的个人基本资料、教育工作信息等有关数据。</w:t>
      </w:r>
    </w:p>
    <w:tbl>
      <w:tblPr>
        <w:tblW w:w="8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3594"/>
        <w:gridCol w:w="2971"/>
      </w:tblGrid>
      <w:tr w:rsidR="0078103B">
        <w:trPr>
          <w:trHeight w:val="68"/>
          <w:tblHeader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数据类</w:t>
            </w: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别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典型示例和说明</w:t>
            </w:r>
          </w:p>
        </w:tc>
        <w:tc>
          <w:tcPr>
            <w:tcW w:w="2971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传输要求</w:t>
            </w:r>
          </w:p>
        </w:tc>
      </w:tr>
      <w:tr w:rsidR="0078103B">
        <w:trPr>
          <w:trHeight w:val="285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去标识化受试者个人基本资料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药品药械临床试验涉及的受试者去标识化的个人基本资料，如受试者鉴认代码、年龄、性别等。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受试者健康生理信息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药品药械临床试验涉及的受试者的健康生理信息，如受试者入选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排除标准、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用药记录等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154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研究者个人基本资料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药品药械临床试验涉及的研究者的个人基本资料，如姓名、年龄、性别等。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研究者教育工作信息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药品药械临床试验涉及的研究者的教育工作信息，如学校名称、学历、工作单位名称、职务等。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</w:tbl>
    <w:p w:rsidR="0078103B" w:rsidRDefault="0078103B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</w:p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场景</w:t>
      </w:r>
      <w:r>
        <w:rPr>
          <w:rFonts w:ascii="Times New Roman" w:eastAsia="方正楷体_GBK" w:hAnsi="Times New Roman" w:hint="eastAsia"/>
          <w:sz w:val="32"/>
          <w:szCs w:val="32"/>
        </w:rPr>
        <w:t>二</w:t>
      </w:r>
      <w:r>
        <w:rPr>
          <w:rFonts w:ascii="Times New Roman" w:eastAsia="方正楷体_GBK" w:hAnsi="Times New Roman"/>
          <w:sz w:val="32"/>
          <w:szCs w:val="32"/>
        </w:rPr>
        <w:t>：</w:t>
      </w:r>
      <w:r>
        <w:rPr>
          <w:rFonts w:ascii="Times New Roman" w:eastAsia="方正楷体_GBK" w:hAnsi="Times New Roman" w:hint="eastAsia"/>
          <w:sz w:val="32"/>
          <w:szCs w:val="32"/>
        </w:rPr>
        <w:t>药物警戒和医疗器械不良事件监测</w:t>
      </w:r>
    </w:p>
    <w:p w:rsidR="0078103B" w:rsidRDefault="006A2B01">
      <w:pPr>
        <w:adjustRightInd w:val="0"/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场景简介：</w:t>
      </w:r>
      <w:r>
        <w:rPr>
          <w:rFonts w:ascii="Times New Roman" w:eastAsia="方正仿宋_GBK" w:hAnsi="Times New Roman" w:hint="eastAsia"/>
          <w:sz w:val="32"/>
          <w:szCs w:val="32"/>
        </w:rPr>
        <w:t>为履行相关法定义务，建立不良事件全球管理体系，监测、识别、评估和控制相关的不良反应情况，需要跨境流动的药物警戒和医疗器械不良事件监测数据，主要包括去标识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化患者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的个人基本资料、基础生理状况信息、用药记录和不良反应信息等有关数据。</w:t>
      </w:r>
    </w:p>
    <w:tbl>
      <w:tblPr>
        <w:tblW w:w="8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3594"/>
        <w:gridCol w:w="2971"/>
      </w:tblGrid>
      <w:tr w:rsidR="0078103B">
        <w:trPr>
          <w:trHeight w:val="20"/>
          <w:tblHeader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数据类</w:t>
            </w: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别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典型示例和说明</w:t>
            </w:r>
          </w:p>
        </w:tc>
        <w:tc>
          <w:tcPr>
            <w:tcW w:w="2971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传输要求</w:t>
            </w: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去标识</w:t>
            </w:r>
            <w:proofErr w:type="gramStart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化患者</w:t>
            </w:r>
            <w:proofErr w:type="gramEnd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患者去标识化的个人基本资料，如患者代码、年龄、性别等。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.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本场景下跨境数据的使用范围只能用于安全性评价。</w:t>
            </w: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患者基础生理状况信息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患者的基础生理状况信息，如身高、体重等。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患者用药记录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患者生病医治过程中产生的用药记录数据，如用药名称、用法用量、用药时间等。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患者医疗记录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患者生病医治过程中产生的医疗记录数据，如病症、诊治情况等。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患者不良反应信息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患者在用药或使用医疗器械过程中产生的不良反应情况。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去标识化报告人的个人基本资料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药物警戒和医疗器械不良事件报告人的去标识</w:t>
            </w:r>
            <w:proofErr w:type="gramStart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化个人</w:t>
            </w:r>
            <w:proofErr w:type="gramEnd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基本资料，如报告人代码、与患者的关系等。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事件总结描述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基于上述信息汇总的描述性信息，以按照本地法规要求构成完整的不良反应报告。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</w:tbl>
    <w:p w:rsidR="0078103B" w:rsidRDefault="0078103B"/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场景</w:t>
      </w:r>
      <w:r>
        <w:rPr>
          <w:rFonts w:ascii="Times New Roman" w:eastAsia="方正楷体_GBK" w:hAnsi="Times New Roman" w:hint="eastAsia"/>
          <w:sz w:val="32"/>
          <w:szCs w:val="32"/>
        </w:rPr>
        <w:t>三</w:t>
      </w:r>
      <w:r>
        <w:rPr>
          <w:rFonts w:ascii="Times New Roman" w:eastAsia="方正楷体_GBK" w:hAnsi="Times New Roman"/>
          <w:sz w:val="32"/>
          <w:szCs w:val="32"/>
        </w:rPr>
        <w:t>：</w:t>
      </w:r>
      <w:r>
        <w:rPr>
          <w:rFonts w:ascii="Times New Roman" w:eastAsia="方正楷体_GBK" w:hAnsi="Times New Roman" w:hint="eastAsia"/>
          <w:sz w:val="32"/>
          <w:szCs w:val="32"/>
        </w:rPr>
        <w:t>医学问询</w:t>
      </w:r>
    </w:p>
    <w:p w:rsidR="0078103B" w:rsidRDefault="006A2B01">
      <w:pPr>
        <w:adjustRightInd w:val="0"/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场景简介：为依托全球资源有效解答公众就相关疾病领域和产品</w:t>
      </w:r>
      <w:r>
        <w:rPr>
          <w:rFonts w:ascii="Times New Roman" w:eastAsia="方正仿宋_GBK" w:hAnsi="Times New Roman" w:hint="eastAsia"/>
          <w:sz w:val="32"/>
          <w:szCs w:val="32"/>
        </w:rPr>
        <w:t>的</w:t>
      </w:r>
      <w:r>
        <w:rPr>
          <w:rFonts w:ascii="Times New Roman" w:eastAsia="方正仿宋_GBK" w:hAnsi="Times New Roman"/>
          <w:sz w:val="32"/>
          <w:szCs w:val="32"/>
        </w:rPr>
        <w:t>大量医学问询，</w:t>
      </w:r>
      <w:r>
        <w:rPr>
          <w:rFonts w:ascii="Times New Roman" w:eastAsia="方正仿宋_GBK" w:hAnsi="Times New Roman" w:hint="eastAsia"/>
          <w:sz w:val="32"/>
          <w:szCs w:val="32"/>
        </w:rPr>
        <w:t>需要跨境流动的医学问询数据，主要包括去标识化问询人的个人基本资料、问询信息等有关数据。</w:t>
      </w:r>
    </w:p>
    <w:tbl>
      <w:tblPr>
        <w:tblW w:w="8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3594"/>
        <w:gridCol w:w="2971"/>
      </w:tblGrid>
      <w:tr w:rsidR="0078103B">
        <w:trPr>
          <w:trHeight w:val="74"/>
          <w:tblHeader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数据类</w:t>
            </w: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别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典型示例和说明</w:t>
            </w:r>
          </w:p>
        </w:tc>
        <w:tc>
          <w:tcPr>
            <w:tcW w:w="2971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传输要求</w:t>
            </w:r>
          </w:p>
        </w:tc>
      </w:tr>
      <w:tr w:rsidR="0078103B">
        <w:trPr>
          <w:trHeight w:val="1037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去标识化问询人的个人基本资料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问询人去标识化的个人基本资料，如问询人代码、性别、是否为医疗卫生专业人士等。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78103B">
        <w:trPr>
          <w:trHeight w:val="1306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问询人的工作信息（要求问询人为医疗卫生专业人士）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问询人的工作信息，如工作单位名称及科室、职务等。（如果问询人为医疗卫生专业人士，则需提供，否则不允许提供。）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问询人的问询信息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问询人的问询记录信息，如问询时间、问询记录及内容等。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</w:tbl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场景</w:t>
      </w:r>
      <w:r>
        <w:rPr>
          <w:rFonts w:ascii="Times New Roman" w:eastAsia="方正楷体_GBK" w:hAnsi="Times New Roman" w:hint="eastAsia"/>
          <w:sz w:val="32"/>
          <w:szCs w:val="32"/>
        </w:rPr>
        <w:t>四</w:t>
      </w:r>
      <w:r>
        <w:rPr>
          <w:rFonts w:ascii="Times New Roman" w:eastAsia="方正楷体_GBK" w:hAnsi="Times New Roman"/>
          <w:sz w:val="32"/>
          <w:szCs w:val="32"/>
        </w:rPr>
        <w:t>：</w:t>
      </w:r>
      <w:r>
        <w:rPr>
          <w:rFonts w:ascii="Times New Roman" w:eastAsia="方正楷体_GBK" w:hAnsi="Times New Roman" w:hint="eastAsia"/>
          <w:sz w:val="32"/>
          <w:szCs w:val="32"/>
        </w:rPr>
        <w:t>产品投诉</w:t>
      </w:r>
    </w:p>
    <w:p w:rsidR="0078103B" w:rsidRDefault="006A2B01">
      <w:pPr>
        <w:adjustRightInd w:val="0"/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场景简介：</w:t>
      </w:r>
      <w:r>
        <w:rPr>
          <w:rFonts w:ascii="Times New Roman" w:eastAsia="方正仿宋_GBK" w:hAnsi="Times New Roman" w:hint="eastAsia"/>
          <w:sz w:val="32"/>
          <w:szCs w:val="32"/>
        </w:rPr>
        <w:t>为准确、及时、高效</w:t>
      </w:r>
      <w:r>
        <w:rPr>
          <w:rFonts w:ascii="Times New Roman" w:eastAsia="方正仿宋_GBK" w:hAnsi="Times New Roman"/>
          <w:sz w:val="32"/>
          <w:szCs w:val="32"/>
        </w:rPr>
        <w:t>地</w:t>
      </w:r>
      <w:r>
        <w:rPr>
          <w:rFonts w:ascii="Times New Roman" w:eastAsia="方正仿宋_GBK" w:hAnsi="Times New Roman" w:hint="eastAsia"/>
          <w:sz w:val="32"/>
          <w:szCs w:val="32"/>
        </w:rPr>
        <w:t>解决有关产品投诉的质量问题和退换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货要求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等，需要跨境流动的产品投诉数据，主要包括去标识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化投诉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人的个人基本资料、投诉信息和投诉汇总信息等有关数据。</w:t>
      </w:r>
    </w:p>
    <w:tbl>
      <w:tblPr>
        <w:tblW w:w="8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3594"/>
        <w:gridCol w:w="2971"/>
      </w:tblGrid>
      <w:tr w:rsidR="0078103B">
        <w:trPr>
          <w:trHeight w:val="20"/>
          <w:tblHeader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数据类</w:t>
            </w: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别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典型示例和说明</w:t>
            </w:r>
          </w:p>
        </w:tc>
        <w:tc>
          <w:tcPr>
            <w:tcW w:w="2971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传输要求</w:t>
            </w: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去标识</w:t>
            </w:r>
            <w:proofErr w:type="gramStart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化投诉</w:t>
            </w:r>
            <w:proofErr w:type="gramEnd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人的个人基本资料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投诉人的去标识</w:t>
            </w:r>
            <w:proofErr w:type="gramStart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化个人</w:t>
            </w:r>
            <w:proofErr w:type="gramEnd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基本资料，如投诉人代码、投诉人类型、投诉人与患者的关系等。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78103B" w:rsidRDefault="0078103B">
            <w:pPr>
              <w:widowControl/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投诉人的工作信息（要求投诉人为医疗卫生专业人士）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投诉人的工作信息，如工作单位名称、专业等。</w:t>
            </w:r>
          </w:p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（如果投诉人为医疗卫生专业人士，则需提供，否则不允许提供。）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投诉中涉及的去标识</w:t>
            </w:r>
            <w:proofErr w:type="gramStart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化患者</w:t>
            </w:r>
            <w:proofErr w:type="gramEnd"/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个人基本资料（如投诉人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患者主动提供）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/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患者在投诉过程中主动提供的患者的去标识</w:t>
            </w:r>
            <w:proofErr w:type="gramStart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化个人</w:t>
            </w:r>
            <w:proofErr w:type="gramEnd"/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基本资料，如</w:t>
            </w: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患者代码</w:t>
            </w: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、性别等。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投诉人的投诉信息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投诉人的投诉记录信息，如投诉时间、投诉中的信息内容等。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投诉汇总信息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基于产品投诉汇总的投诉信息，如产品名称、投诉类型、投诉数量等。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</w:tbl>
    <w:p w:rsidR="0078103B" w:rsidRDefault="0078103B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</w:p>
    <w:p w:rsidR="0078103B" w:rsidRDefault="006A2B01">
      <w:pPr>
        <w:widowControl/>
        <w:adjustRightInd w:val="0"/>
        <w:snapToGrid w:val="0"/>
        <w:spacing w:line="600" w:lineRule="exact"/>
        <w:rPr>
          <w:rFonts w:ascii="Times New Roman" w:eastAsia="方正楷体_GBK" w:hAnsi="Times New Roman"/>
          <w:sz w:val="32"/>
          <w:szCs w:val="32"/>
        </w:rPr>
      </w:pPr>
      <w:r>
        <w:rPr>
          <w:rFonts w:ascii="Times New Roman" w:eastAsia="方正楷体_GBK" w:hAnsi="Times New Roman"/>
          <w:sz w:val="32"/>
          <w:szCs w:val="32"/>
        </w:rPr>
        <w:t>场景</w:t>
      </w:r>
      <w:r>
        <w:rPr>
          <w:rFonts w:ascii="Times New Roman" w:eastAsia="方正楷体_GBK" w:hAnsi="Times New Roman" w:hint="eastAsia"/>
          <w:sz w:val="32"/>
          <w:szCs w:val="32"/>
        </w:rPr>
        <w:t>五</w:t>
      </w:r>
      <w:r>
        <w:rPr>
          <w:rFonts w:ascii="Times New Roman" w:eastAsia="方正楷体_GBK" w:hAnsi="Times New Roman"/>
          <w:sz w:val="32"/>
          <w:szCs w:val="32"/>
        </w:rPr>
        <w:t>：</w:t>
      </w:r>
      <w:r>
        <w:rPr>
          <w:rFonts w:ascii="Times New Roman" w:eastAsia="方正楷体_GBK" w:hAnsi="Times New Roman" w:hint="eastAsia"/>
          <w:sz w:val="32"/>
          <w:szCs w:val="32"/>
        </w:rPr>
        <w:t>商业合作伙伴管理</w:t>
      </w:r>
    </w:p>
    <w:p w:rsidR="0078103B" w:rsidRDefault="006A2B01">
      <w:pPr>
        <w:adjustRightInd w:val="0"/>
        <w:snapToGrid w:val="0"/>
        <w:spacing w:line="600" w:lineRule="exac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t>场景简介：</w:t>
      </w:r>
      <w:r>
        <w:rPr>
          <w:rFonts w:ascii="Times New Roman" w:eastAsia="方正仿宋_GBK" w:hAnsi="Times New Roman" w:hint="eastAsia"/>
          <w:sz w:val="32"/>
          <w:szCs w:val="32"/>
        </w:rPr>
        <w:t>为实现跨国企业全球供应商统一管理，需要跨境流动的商业合作伙伴管理数据，主要包括组织商业合作伙伴的背景信息、建档信息、合同管理信息，以及个人商业合作伙伴的个人基本资料、银行账户信息、资质信息等有关数据。</w:t>
      </w:r>
    </w:p>
    <w:tbl>
      <w:tblPr>
        <w:tblW w:w="8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6"/>
        <w:gridCol w:w="3594"/>
        <w:gridCol w:w="2971"/>
      </w:tblGrid>
      <w:tr w:rsidR="0078103B">
        <w:trPr>
          <w:trHeight w:val="20"/>
          <w:tblHeader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数据类</w:t>
            </w: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别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典型示例和说明</w:t>
            </w:r>
          </w:p>
        </w:tc>
        <w:tc>
          <w:tcPr>
            <w:tcW w:w="2971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jc w:val="center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  <w:t>传输要求</w:t>
            </w: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组织商业合作伙伴的背景信息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组织商业合作伙伴的背景信息，如商业合作伙伴名称、供应商资质、经营业务范围等。</w:t>
            </w:r>
          </w:p>
        </w:tc>
        <w:tc>
          <w:tcPr>
            <w:tcW w:w="2971" w:type="dxa"/>
            <w:vMerge w:val="restart"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rPr>
                <w:rFonts w:ascii="Times New Roman" w:eastAsia="方正仿宋_GBK" w:hAnsi="Times New Roman"/>
                <w:b/>
                <w:bCs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组织商业合作伙伴的建档信息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组织商业合作伙伴的建档信息，如建档名称、税号等。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组织商业合作伙伴的合同管理信息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组织商业合作伙伴的合同管理信息，如合同编号、合同金额等。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组织商业合作伙伴的支付信息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组织商业合作伙伴的支付信息，如支付日期、支付金额、支付项目名称等。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组织商业合作伙伴的联系人信息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组织商业合作伙伴的联系人信息，如联系人姓名、职位等。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组织商业合作伙伴的关键项目成员信息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组织商业合作伙伴的关键项目成员信息，如关键项目成员的姓名、职务等。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组织商业合作伙伴的高管信息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组织商业合作伙伴的高管信息，如高管的姓名、职务等。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个人商业合作伙伴的个人基本资料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个人商业合作伙伴的个人基本资料，如姓名、性别等。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个人商业合作伙伴的个人工作信息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个人商业合作伙伴的个人工作信息，如工作单位名称、职务等。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个人商业合作伙伴的个人银行账户信息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个人商业合作伙伴的个人银行账户信息，如开户行名称、银行账号等。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  <w:tr w:rsidR="0078103B">
        <w:trPr>
          <w:trHeight w:val="20"/>
          <w:jc w:val="center"/>
        </w:trPr>
        <w:tc>
          <w:tcPr>
            <w:tcW w:w="1956" w:type="dxa"/>
            <w:shd w:val="clear" w:color="auto" w:fill="auto"/>
            <w:vAlign w:val="center"/>
          </w:tcPr>
          <w:p w:rsidR="0078103B" w:rsidRDefault="006A2B01"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个人商业合作伙伴的个人资质信息</w:t>
            </w:r>
          </w:p>
        </w:tc>
        <w:tc>
          <w:tcPr>
            <w:tcW w:w="3594" w:type="dxa"/>
            <w:shd w:val="clear" w:color="auto" w:fill="auto"/>
            <w:vAlign w:val="center"/>
          </w:tcPr>
          <w:p w:rsidR="0078103B" w:rsidRDefault="006A2B01">
            <w:pPr>
              <w:adjustRightInd w:val="0"/>
              <w:snapToGrid w:val="0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个人商业合作伙伴的个人资质信息，如资质名称、取得资质日期等。</w:t>
            </w:r>
          </w:p>
        </w:tc>
        <w:tc>
          <w:tcPr>
            <w:tcW w:w="2971" w:type="dxa"/>
            <w:vMerge/>
            <w:shd w:val="clear" w:color="auto" w:fill="auto"/>
            <w:vAlign w:val="center"/>
          </w:tcPr>
          <w:p w:rsidR="0078103B" w:rsidRDefault="0078103B">
            <w:pPr>
              <w:adjustRightInd w:val="0"/>
              <w:snapToGrid w:val="0"/>
              <w:ind w:left="613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</w:p>
        </w:tc>
      </w:tr>
    </w:tbl>
    <w:p w:rsidR="0078103B" w:rsidRDefault="0078103B">
      <w:pPr>
        <w:adjustRightInd w:val="0"/>
        <w:snapToGrid w:val="0"/>
        <w:spacing w:line="20" w:lineRule="exact"/>
        <w:ind w:left="733" w:firstLine="560"/>
        <w:rPr>
          <w:rFonts w:ascii="Times New Roman" w:eastAsia="方正仿宋_GBK" w:hAnsi="Times New Roman"/>
          <w:sz w:val="28"/>
          <w:szCs w:val="28"/>
        </w:rPr>
      </w:pPr>
    </w:p>
    <w:p w:rsidR="0078103B" w:rsidRDefault="0078103B">
      <w:pPr>
        <w:adjustRightInd w:val="0"/>
        <w:snapToGrid w:val="0"/>
        <w:rPr>
          <w:rFonts w:ascii="Times New Roman" w:eastAsia="方正仿宋_GBK" w:hAnsi="Times New Roman"/>
          <w:sz w:val="28"/>
          <w:szCs w:val="28"/>
        </w:rPr>
      </w:pPr>
    </w:p>
    <w:sectPr w:rsidR="0078103B">
      <w:footerReference w:type="default" r:id="rId7"/>
      <w:pgSz w:w="11906" w:h="16838"/>
      <w:pgMar w:top="2098" w:right="1588" w:bottom="1985" w:left="1588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2B01" w:rsidRDefault="006A2B01">
      <w:r>
        <w:separator/>
      </w:r>
    </w:p>
  </w:endnote>
  <w:endnote w:type="continuationSeparator" w:id="0">
    <w:p w:rsidR="006A2B01" w:rsidRDefault="006A2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宋体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103B" w:rsidRDefault="006A2B01">
    <w:pPr>
      <w:pStyle w:val="a4"/>
      <w:jc w:val="center"/>
      <w:rPr>
        <w:rFonts w:ascii="Times New Roman" w:eastAsia="方正仿宋_GBK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8103B" w:rsidRDefault="006A2B01">
                          <w:pPr>
                            <w:pStyle w:val="a4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D91F7D"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6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Nte8iJ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78103B" w:rsidRDefault="006A2B01">
                    <w:pPr>
                      <w:pStyle w:val="a4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 w:rsidR="00D91F7D"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6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2B01" w:rsidRDefault="006A2B01">
      <w:r>
        <w:separator/>
      </w:r>
    </w:p>
  </w:footnote>
  <w:footnote w:type="continuationSeparator" w:id="0">
    <w:p w:rsidR="006A2B01" w:rsidRDefault="006A2B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bordersDoNotSurroundHeader/>
  <w:bordersDoNotSurroundFooter/>
  <w:proofState w:grammar="clean"/>
  <w:documentProtection w:edit="readOnly" w:enforcement="1" w:cryptProviderType="rsaAES" w:cryptAlgorithmClass="hash" w:cryptAlgorithmType="typeAny" w:cryptAlgorithmSid="14" w:cryptSpinCount="100000" w:hash="LSuWQJOCq+Hsl7rGdP8EQAMLeY5+93zubgSXbtjXdJsHdy2x2EVGvoTgw4ZfVMuQbA7rrLTEx/1tpa4GGTG8JQ==" w:salt="Irk81JnQEKfSCcSN2Aimnw==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U4MzczMzVlZDY1N2VmNDE1ZjI4NWU3YjIzYTYzZTIifQ=="/>
  </w:docVars>
  <w:rsids>
    <w:rsidRoot w:val="006D2B66"/>
    <w:rsid w:val="EEF597F3"/>
    <w:rsid w:val="00000C8C"/>
    <w:rsid w:val="00004BC3"/>
    <w:rsid w:val="00006CE3"/>
    <w:rsid w:val="00006E9C"/>
    <w:rsid w:val="00022855"/>
    <w:rsid w:val="00027066"/>
    <w:rsid w:val="00031D2C"/>
    <w:rsid w:val="000351A6"/>
    <w:rsid w:val="00040A65"/>
    <w:rsid w:val="000415B9"/>
    <w:rsid w:val="000427F4"/>
    <w:rsid w:val="00047A1A"/>
    <w:rsid w:val="00053C36"/>
    <w:rsid w:val="000570FD"/>
    <w:rsid w:val="00066A80"/>
    <w:rsid w:val="000702DF"/>
    <w:rsid w:val="000728CD"/>
    <w:rsid w:val="00072C9E"/>
    <w:rsid w:val="00073968"/>
    <w:rsid w:val="00074869"/>
    <w:rsid w:val="000779BE"/>
    <w:rsid w:val="00080522"/>
    <w:rsid w:val="000862BA"/>
    <w:rsid w:val="000903D0"/>
    <w:rsid w:val="00092AAC"/>
    <w:rsid w:val="00096E54"/>
    <w:rsid w:val="000A124B"/>
    <w:rsid w:val="000A7C2F"/>
    <w:rsid w:val="000B2BF7"/>
    <w:rsid w:val="000B4787"/>
    <w:rsid w:val="000B74E9"/>
    <w:rsid w:val="000C0339"/>
    <w:rsid w:val="000C2815"/>
    <w:rsid w:val="000C3D1D"/>
    <w:rsid w:val="000C3FBD"/>
    <w:rsid w:val="000D6333"/>
    <w:rsid w:val="000E2E4E"/>
    <w:rsid w:val="000E3480"/>
    <w:rsid w:val="000E6639"/>
    <w:rsid w:val="000F41B8"/>
    <w:rsid w:val="000F743F"/>
    <w:rsid w:val="0010261A"/>
    <w:rsid w:val="001037FA"/>
    <w:rsid w:val="00103D2D"/>
    <w:rsid w:val="00113D3C"/>
    <w:rsid w:val="001149AC"/>
    <w:rsid w:val="00124EA2"/>
    <w:rsid w:val="0014051C"/>
    <w:rsid w:val="00144DB5"/>
    <w:rsid w:val="00145822"/>
    <w:rsid w:val="0015392E"/>
    <w:rsid w:val="00153985"/>
    <w:rsid w:val="00154DCA"/>
    <w:rsid w:val="00163B5A"/>
    <w:rsid w:val="00164F4B"/>
    <w:rsid w:val="001661BE"/>
    <w:rsid w:val="00166DE6"/>
    <w:rsid w:val="00170B21"/>
    <w:rsid w:val="00171F20"/>
    <w:rsid w:val="00176A3D"/>
    <w:rsid w:val="00181879"/>
    <w:rsid w:val="00184949"/>
    <w:rsid w:val="00197D8A"/>
    <w:rsid w:val="001A4458"/>
    <w:rsid w:val="001A5462"/>
    <w:rsid w:val="001B1F28"/>
    <w:rsid w:val="001B21A2"/>
    <w:rsid w:val="001B4C08"/>
    <w:rsid w:val="001C2EDB"/>
    <w:rsid w:val="001D054B"/>
    <w:rsid w:val="001D11F2"/>
    <w:rsid w:val="001D1F84"/>
    <w:rsid w:val="001D1FA9"/>
    <w:rsid w:val="001D3BDE"/>
    <w:rsid w:val="001D527A"/>
    <w:rsid w:val="001D7D6A"/>
    <w:rsid w:val="001E1644"/>
    <w:rsid w:val="001E1DF2"/>
    <w:rsid w:val="001E63AB"/>
    <w:rsid w:val="001F328D"/>
    <w:rsid w:val="002076BC"/>
    <w:rsid w:val="00212788"/>
    <w:rsid w:val="00213897"/>
    <w:rsid w:val="00215545"/>
    <w:rsid w:val="00221155"/>
    <w:rsid w:val="00221E9B"/>
    <w:rsid w:val="00227198"/>
    <w:rsid w:val="00231C27"/>
    <w:rsid w:val="00236103"/>
    <w:rsid w:val="00236A46"/>
    <w:rsid w:val="002417E3"/>
    <w:rsid w:val="00245F0B"/>
    <w:rsid w:val="002502FC"/>
    <w:rsid w:val="002527ED"/>
    <w:rsid w:val="00256B59"/>
    <w:rsid w:val="002616A4"/>
    <w:rsid w:val="00274DAA"/>
    <w:rsid w:val="00277585"/>
    <w:rsid w:val="00281A67"/>
    <w:rsid w:val="00283874"/>
    <w:rsid w:val="00286EBD"/>
    <w:rsid w:val="00291099"/>
    <w:rsid w:val="00295C6A"/>
    <w:rsid w:val="002B0105"/>
    <w:rsid w:val="002B0D92"/>
    <w:rsid w:val="002B2782"/>
    <w:rsid w:val="002C24DD"/>
    <w:rsid w:val="002C2AA3"/>
    <w:rsid w:val="002D362F"/>
    <w:rsid w:val="002D3889"/>
    <w:rsid w:val="002E2828"/>
    <w:rsid w:val="002E6EFD"/>
    <w:rsid w:val="002F340C"/>
    <w:rsid w:val="002F7385"/>
    <w:rsid w:val="003048D3"/>
    <w:rsid w:val="003060E4"/>
    <w:rsid w:val="003061BC"/>
    <w:rsid w:val="00307BC6"/>
    <w:rsid w:val="003169EB"/>
    <w:rsid w:val="003204A8"/>
    <w:rsid w:val="0032147F"/>
    <w:rsid w:val="00322E50"/>
    <w:rsid w:val="00332DEF"/>
    <w:rsid w:val="00343F91"/>
    <w:rsid w:val="00345992"/>
    <w:rsid w:val="00345ED3"/>
    <w:rsid w:val="00352E9B"/>
    <w:rsid w:val="00354A4B"/>
    <w:rsid w:val="00355E4D"/>
    <w:rsid w:val="0035757B"/>
    <w:rsid w:val="00366777"/>
    <w:rsid w:val="003670DD"/>
    <w:rsid w:val="00371C50"/>
    <w:rsid w:val="0037426B"/>
    <w:rsid w:val="003826D8"/>
    <w:rsid w:val="003829C1"/>
    <w:rsid w:val="003937A0"/>
    <w:rsid w:val="003B25EA"/>
    <w:rsid w:val="003B6D35"/>
    <w:rsid w:val="003C660D"/>
    <w:rsid w:val="003D2E91"/>
    <w:rsid w:val="003F52CD"/>
    <w:rsid w:val="00410FE2"/>
    <w:rsid w:val="00411B50"/>
    <w:rsid w:val="004165A5"/>
    <w:rsid w:val="00420BBE"/>
    <w:rsid w:val="0042150E"/>
    <w:rsid w:val="004234D0"/>
    <w:rsid w:val="004258AC"/>
    <w:rsid w:val="00425D9B"/>
    <w:rsid w:val="00426B63"/>
    <w:rsid w:val="00433685"/>
    <w:rsid w:val="0043580F"/>
    <w:rsid w:val="00441692"/>
    <w:rsid w:val="00447D8F"/>
    <w:rsid w:val="00450FBD"/>
    <w:rsid w:val="004639A9"/>
    <w:rsid w:val="00471731"/>
    <w:rsid w:val="00473E60"/>
    <w:rsid w:val="00477016"/>
    <w:rsid w:val="0048485D"/>
    <w:rsid w:val="004864CB"/>
    <w:rsid w:val="004873C5"/>
    <w:rsid w:val="00490F89"/>
    <w:rsid w:val="00492E9C"/>
    <w:rsid w:val="00493256"/>
    <w:rsid w:val="00495A39"/>
    <w:rsid w:val="004971E7"/>
    <w:rsid w:val="00497C34"/>
    <w:rsid w:val="004A0291"/>
    <w:rsid w:val="004A3898"/>
    <w:rsid w:val="004B0BDA"/>
    <w:rsid w:val="004B1F09"/>
    <w:rsid w:val="004B67E4"/>
    <w:rsid w:val="004B6D60"/>
    <w:rsid w:val="004C0BDF"/>
    <w:rsid w:val="004C1174"/>
    <w:rsid w:val="004C11B5"/>
    <w:rsid w:val="004C5482"/>
    <w:rsid w:val="004C7959"/>
    <w:rsid w:val="004D1D8A"/>
    <w:rsid w:val="004E0EBD"/>
    <w:rsid w:val="004E1802"/>
    <w:rsid w:val="004E4904"/>
    <w:rsid w:val="004E58A2"/>
    <w:rsid w:val="004F1E38"/>
    <w:rsid w:val="004F6C02"/>
    <w:rsid w:val="00501822"/>
    <w:rsid w:val="00502A88"/>
    <w:rsid w:val="00523681"/>
    <w:rsid w:val="00526D9F"/>
    <w:rsid w:val="00535432"/>
    <w:rsid w:val="00543F0F"/>
    <w:rsid w:val="005457EC"/>
    <w:rsid w:val="00556850"/>
    <w:rsid w:val="005575CC"/>
    <w:rsid w:val="00557635"/>
    <w:rsid w:val="0055794E"/>
    <w:rsid w:val="00560019"/>
    <w:rsid w:val="0056088D"/>
    <w:rsid w:val="00560A63"/>
    <w:rsid w:val="0056726C"/>
    <w:rsid w:val="005713C9"/>
    <w:rsid w:val="00575DD0"/>
    <w:rsid w:val="00576796"/>
    <w:rsid w:val="00577736"/>
    <w:rsid w:val="00577958"/>
    <w:rsid w:val="00577D15"/>
    <w:rsid w:val="005802BB"/>
    <w:rsid w:val="0059000E"/>
    <w:rsid w:val="0059126D"/>
    <w:rsid w:val="005955D6"/>
    <w:rsid w:val="005A0426"/>
    <w:rsid w:val="005A26B4"/>
    <w:rsid w:val="005A2C0D"/>
    <w:rsid w:val="005A7607"/>
    <w:rsid w:val="005B1A1D"/>
    <w:rsid w:val="005B769B"/>
    <w:rsid w:val="005C4E64"/>
    <w:rsid w:val="005D1512"/>
    <w:rsid w:val="005D4193"/>
    <w:rsid w:val="005D42EE"/>
    <w:rsid w:val="005E3087"/>
    <w:rsid w:val="005E70CC"/>
    <w:rsid w:val="0060605E"/>
    <w:rsid w:val="006066F3"/>
    <w:rsid w:val="00610D68"/>
    <w:rsid w:val="00611DF9"/>
    <w:rsid w:val="00616DF1"/>
    <w:rsid w:val="00623579"/>
    <w:rsid w:val="006253C5"/>
    <w:rsid w:val="00625CD4"/>
    <w:rsid w:val="00626271"/>
    <w:rsid w:val="00643F9E"/>
    <w:rsid w:val="00646962"/>
    <w:rsid w:val="006524E7"/>
    <w:rsid w:val="00655DF4"/>
    <w:rsid w:val="0066661C"/>
    <w:rsid w:val="00674B6D"/>
    <w:rsid w:val="00682634"/>
    <w:rsid w:val="00683668"/>
    <w:rsid w:val="00687042"/>
    <w:rsid w:val="006A0C9C"/>
    <w:rsid w:val="006A2B01"/>
    <w:rsid w:val="006A50E4"/>
    <w:rsid w:val="006A60FC"/>
    <w:rsid w:val="006B114C"/>
    <w:rsid w:val="006C1988"/>
    <w:rsid w:val="006D2B66"/>
    <w:rsid w:val="006D690B"/>
    <w:rsid w:val="006E1AB6"/>
    <w:rsid w:val="006E1EA1"/>
    <w:rsid w:val="006F02D4"/>
    <w:rsid w:val="006F0F99"/>
    <w:rsid w:val="006F1095"/>
    <w:rsid w:val="006F2908"/>
    <w:rsid w:val="006F331A"/>
    <w:rsid w:val="006F6074"/>
    <w:rsid w:val="006F7942"/>
    <w:rsid w:val="00702E7C"/>
    <w:rsid w:val="00705488"/>
    <w:rsid w:val="00715C9D"/>
    <w:rsid w:val="00717106"/>
    <w:rsid w:val="0073729D"/>
    <w:rsid w:val="0074526B"/>
    <w:rsid w:val="007455EE"/>
    <w:rsid w:val="007505A2"/>
    <w:rsid w:val="00751E0C"/>
    <w:rsid w:val="00762D6D"/>
    <w:rsid w:val="00770857"/>
    <w:rsid w:val="0077417F"/>
    <w:rsid w:val="007801A2"/>
    <w:rsid w:val="0078103B"/>
    <w:rsid w:val="00785DF0"/>
    <w:rsid w:val="007A0FB1"/>
    <w:rsid w:val="007B18B6"/>
    <w:rsid w:val="007B4C71"/>
    <w:rsid w:val="007B4E9C"/>
    <w:rsid w:val="007B5FFF"/>
    <w:rsid w:val="007B6115"/>
    <w:rsid w:val="007C07E3"/>
    <w:rsid w:val="007C0CCF"/>
    <w:rsid w:val="007C457E"/>
    <w:rsid w:val="007C6352"/>
    <w:rsid w:val="007D0928"/>
    <w:rsid w:val="007D11EF"/>
    <w:rsid w:val="007D4EDF"/>
    <w:rsid w:val="007D6197"/>
    <w:rsid w:val="007E2F04"/>
    <w:rsid w:val="007E3AC9"/>
    <w:rsid w:val="007F2C59"/>
    <w:rsid w:val="0080386C"/>
    <w:rsid w:val="00807F16"/>
    <w:rsid w:val="00813FBF"/>
    <w:rsid w:val="0081616E"/>
    <w:rsid w:val="00816FA2"/>
    <w:rsid w:val="00824B2E"/>
    <w:rsid w:val="00830A01"/>
    <w:rsid w:val="00841357"/>
    <w:rsid w:val="0084663E"/>
    <w:rsid w:val="008479F0"/>
    <w:rsid w:val="00852E2A"/>
    <w:rsid w:val="00854E51"/>
    <w:rsid w:val="0086505E"/>
    <w:rsid w:val="00865ED5"/>
    <w:rsid w:val="008672ED"/>
    <w:rsid w:val="00871F6C"/>
    <w:rsid w:val="0087298C"/>
    <w:rsid w:val="00872E83"/>
    <w:rsid w:val="008773ED"/>
    <w:rsid w:val="00883BA6"/>
    <w:rsid w:val="00884A9A"/>
    <w:rsid w:val="00894F5A"/>
    <w:rsid w:val="00896890"/>
    <w:rsid w:val="008A08DE"/>
    <w:rsid w:val="008A66CD"/>
    <w:rsid w:val="008B0AD9"/>
    <w:rsid w:val="008B229E"/>
    <w:rsid w:val="008B3A5B"/>
    <w:rsid w:val="008C097F"/>
    <w:rsid w:val="008C52F6"/>
    <w:rsid w:val="008D0522"/>
    <w:rsid w:val="008D5275"/>
    <w:rsid w:val="008D751A"/>
    <w:rsid w:val="008E33EB"/>
    <w:rsid w:val="008E798B"/>
    <w:rsid w:val="008F441D"/>
    <w:rsid w:val="008F76F9"/>
    <w:rsid w:val="00925269"/>
    <w:rsid w:val="00927249"/>
    <w:rsid w:val="0093431D"/>
    <w:rsid w:val="00935C4E"/>
    <w:rsid w:val="00941D9D"/>
    <w:rsid w:val="00947141"/>
    <w:rsid w:val="00950B2C"/>
    <w:rsid w:val="00951D68"/>
    <w:rsid w:val="00954D37"/>
    <w:rsid w:val="00964AB7"/>
    <w:rsid w:val="00966307"/>
    <w:rsid w:val="009668AE"/>
    <w:rsid w:val="00974CE5"/>
    <w:rsid w:val="0097718D"/>
    <w:rsid w:val="009775DE"/>
    <w:rsid w:val="009A5E1D"/>
    <w:rsid w:val="009B01EA"/>
    <w:rsid w:val="009B4996"/>
    <w:rsid w:val="009D147F"/>
    <w:rsid w:val="009D25AD"/>
    <w:rsid w:val="009E1ACD"/>
    <w:rsid w:val="009E3178"/>
    <w:rsid w:val="009E3A4F"/>
    <w:rsid w:val="009E6E53"/>
    <w:rsid w:val="009F07F4"/>
    <w:rsid w:val="009F1845"/>
    <w:rsid w:val="009F34F3"/>
    <w:rsid w:val="00A00C71"/>
    <w:rsid w:val="00A06635"/>
    <w:rsid w:val="00A117F6"/>
    <w:rsid w:val="00A161A6"/>
    <w:rsid w:val="00A218B5"/>
    <w:rsid w:val="00A26FC0"/>
    <w:rsid w:val="00A313EA"/>
    <w:rsid w:val="00A3307C"/>
    <w:rsid w:val="00A47285"/>
    <w:rsid w:val="00A5473A"/>
    <w:rsid w:val="00A64635"/>
    <w:rsid w:val="00A85A17"/>
    <w:rsid w:val="00A87B0D"/>
    <w:rsid w:val="00A9151E"/>
    <w:rsid w:val="00A95C72"/>
    <w:rsid w:val="00A95CEB"/>
    <w:rsid w:val="00AA6751"/>
    <w:rsid w:val="00AA68DF"/>
    <w:rsid w:val="00AB09E9"/>
    <w:rsid w:val="00AC22A7"/>
    <w:rsid w:val="00AC6C3B"/>
    <w:rsid w:val="00AE142D"/>
    <w:rsid w:val="00AE2B1F"/>
    <w:rsid w:val="00B00BFA"/>
    <w:rsid w:val="00B02D1A"/>
    <w:rsid w:val="00B05D40"/>
    <w:rsid w:val="00B06AB9"/>
    <w:rsid w:val="00B11BB9"/>
    <w:rsid w:val="00B13909"/>
    <w:rsid w:val="00B14A4A"/>
    <w:rsid w:val="00B15762"/>
    <w:rsid w:val="00B20547"/>
    <w:rsid w:val="00B20B97"/>
    <w:rsid w:val="00B224FA"/>
    <w:rsid w:val="00B22D3E"/>
    <w:rsid w:val="00B535DA"/>
    <w:rsid w:val="00B710F2"/>
    <w:rsid w:val="00B74D4A"/>
    <w:rsid w:val="00B76B96"/>
    <w:rsid w:val="00B83A49"/>
    <w:rsid w:val="00B8753F"/>
    <w:rsid w:val="00BA0915"/>
    <w:rsid w:val="00BA7189"/>
    <w:rsid w:val="00BB6B4D"/>
    <w:rsid w:val="00BC1A0B"/>
    <w:rsid w:val="00BC7EE6"/>
    <w:rsid w:val="00BD0989"/>
    <w:rsid w:val="00BD0E83"/>
    <w:rsid w:val="00BD4940"/>
    <w:rsid w:val="00BE4013"/>
    <w:rsid w:val="00BE4C2B"/>
    <w:rsid w:val="00BF0450"/>
    <w:rsid w:val="00BF17AF"/>
    <w:rsid w:val="00BF71C8"/>
    <w:rsid w:val="00C0289D"/>
    <w:rsid w:val="00C044B1"/>
    <w:rsid w:val="00C14604"/>
    <w:rsid w:val="00C322D2"/>
    <w:rsid w:val="00C35191"/>
    <w:rsid w:val="00C37C82"/>
    <w:rsid w:val="00C37D6A"/>
    <w:rsid w:val="00C40D40"/>
    <w:rsid w:val="00C45603"/>
    <w:rsid w:val="00C47E5C"/>
    <w:rsid w:val="00C558FA"/>
    <w:rsid w:val="00C56746"/>
    <w:rsid w:val="00C56810"/>
    <w:rsid w:val="00C7018C"/>
    <w:rsid w:val="00C70417"/>
    <w:rsid w:val="00C70D02"/>
    <w:rsid w:val="00C71A3A"/>
    <w:rsid w:val="00C8026C"/>
    <w:rsid w:val="00C87E0B"/>
    <w:rsid w:val="00CA1470"/>
    <w:rsid w:val="00CA3707"/>
    <w:rsid w:val="00CA3F31"/>
    <w:rsid w:val="00CA5DBF"/>
    <w:rsid w:val="00CA69DF"/>
    <w:rsid w:val="00CC1DB7"/>
    <w:rsid w:val="00CC2A3D"/>
    <w:rsid w:val="00CC3817"/>
    <w:rsid w:val="00CC417B"/>
    <w:rsid w:val="00CD117F"/>
    <w:rsid w:val="00CD2883"/>
    <w:rsid w:val="00CD49E0"/>
    <w:rsid w:val="00CD746E"/>
    <w:rsid w:val="00CE4D13"/>
    <w:rsid w:val="00CE51C5"/>
    <w:rsid w:val="00CE668B"/>
    <w:rsid w:val="00CF1F4B"/>
    <w:rsid w:val="00D03077"/>
    <w:rsid w:val="00D0360A"/>
    <w:rsid w:val="00D036E3"/>
    <w:rsid w:val="00D03A2C"/>
    <w:rsid w:val="00D176C3"/>
    <w:rsid w:val="00D2045A"/>
    <w:rsid w:val="00D216D8"/>
    <w:rsid w:val="00D23E77"/>
    <w:rsid w:val="00D2424C"/>
    <w:rsid w:val="00D362C1"/>
    <w:rsid w:val="00D43ECB"/>
    <w:rsid w:val="00D47D7F"/>
    <w:rsid w:val="00D50EB6"/>
    <w:rsid w:val="00D520C4"/>
    <w:rsid w:val="00D63164"/>
    <w:rsid w:val="00D6516C"/>
    <w:rsid w:val="00D6670F"/>
    <w:rsid w:val="00D9065C"/>
    <w:rsid w:val="00D91F7D"/>
    <w:rsid w:val="00D93860"/>
    <w:rsid w:val="00DA17F1"/>
    <w:rsid w:val="00DA1D55"/>
    <w:rsid w:val="00DA3AF6"/>
    <w:rsid w:val="00DA51A2"/>
    <w:rsid w:val="00DA7CBF"/>
    <w:rsid w:val="00DB35DD"/>
    <w:rsid w:val="00DB657C"/>
    <w:rsid w:val="00DC57C2"/>
    <w:rsid w:val="00DE231A"/>
    <w:rsid w:val="00DE3A10"/>
    <w:rsid w:val="00DF5BE3"/>
    <w:rsid w:val="00DF69CE"/>
    <w:rsid w:val="00DF7186"/>
    <w:rsid w:val="00E00D53"/>
    <w:rsid w:val="00E02C58"/>
    <w:rsid w:val="00E04F60"/>
    <w:rsid w:val="00E0583F"/>
    <w:rsid w:val="00E05E08"/>
    <w:rsid w:val="00E278C6"/>
    <w:rsid w:val="00E36CF8"/>
    <w:rsid w:val="00E43E21"/>
    <w:rsid w:val="00E50418"/>
    <w:rsid w:val="00E50A8B"/>
    <w:rsid w:val="00E60F2C"/>
    <w:rsid w:val="00E61C6B"/>
    <w:rsid w:val="00E632A5"/>
    <w:rsid w:val="00E66FB0"/>
    <w:rsid w:val="00E73F34"/>
    <w:rsid w:val="00E74C44"/>
    <w:rsid w:val="00E8392D"/>
    <w:rsid w:val="00E84136"/>
    <w:rsid w:val="00E86988"/>
    <w:rsid w:val="00E86C05"/>
    <w:rsid w:val="00E90742"/>
    <w:rsid w:val="00E9360F"/>
    <w:rsid w:val="00E94BBB"/>
    <w:rsid w:val="00E95470"/>
    <w:rsid w:val="00EA0F4B"/>
    <w:rsid w:val="00EA45D2"/>
    <w:rsid w:val="00EA745C"/>
    <w:rsid w:val="00EC5E3A"/>
    <w:rsid w:val="00EE1ECC"/>
    <w:rsid w:val="00EE468F"/>
    <w:rsid w:val="00EF6D25"/>
    <w:rsid w:val="00EF7262"/>
    <w:rsid w:val="00F02A2D"/>
    <w:rsid w:val="00F1145E"/>
    <w:rsid w:val="00F20174"/>
    <w:rsid w:val="00F24961"/>
    <w:rsid w:val="00F2719A"/>
    <w:rsid w:val="00F279F1"/>
    <w:rsid w:val="00F33D58"/>
    <w:rsid w:val="00F4200C"/>
    <w:rsid w:val="00F47C78"/>
    <w:rsid w:val="00F51CFF"/>
    <w:rsid w:val="00F55AEA"/>
    <w:rsid w:val="00F61330"/>
    <w:rsid w:val="00F6246D"/>
    <w:rsid w:val="00F63752"/>
    <w:rsid w:val="00F77B1E"/>
    <w:rsid w:val="00F96418"/>
    <w:rsid w:val="00F96880"/>
    <w:rsid w:val="00FB0102"/>
    <w:rsid w:val="00FB735A"/>
    <w:rsid w:val="00FC0FF9"/>
    <w:rsid w:val="00FC10D6"/>
    <w:rsid w:val="00FC463D"/>
    <w:rsid w:val="00FD29B1"/>
    <w:rsid w:val="00FD5A9E"/>
    <w:rsid w:val="00FD7887"/>
    <w:rsid w:val="00FE68AD"/>
    <w:rsid w:val="00FE7027"/>
    <w:rsid w:val="00FE78C2"/>
    <w:rsid w:val="00FF25A0"/>
    <w:rsid w:val="00FF3F08"/>
    <w:rsid w:val="00FF4308"/>
    <w:rsid w:val="00FF6D96"/>
    <w:rsid w:val="012A3BAB"/>
    <w:rsid w:val="04FB7DCB"/>
    <w:rsid w:val="058F525E"/>
    <w:rsid w:val="06D03D80"/>
    <w:rsid w:val="08591B53"/>
    <w:rsid w:val="09B746A0"/>
    <w:rsid w:val="0B271B8B"/>
    <w:rsid w:val="0C7E602C"/>
    <w:rsid w:val="11BF629C"/>
    <w:rsid w:val="11C91B80"/>
    <w:rsid w:val="12627DD6"/>
    <w:rsid w:val="13857CA0"/>
    <w:rsid w:val="173E4D36"/>
    <w:rsid w:val="1A256DE9"/>
    <w:rsid w:val="1A9F52CB"/>
    <w:rsid w:val="1B923A52"/>
    <w:rsid w:val="1C561E8C"/>
    <w:rsid w:val="1F0F51B6"/>
    <w:rsid w:val="1FBF278C"/>
    <w:rsid w:val="20216FA3"/>
    <w:rsid w:val="21BC251A"/>
    <w:rsid w:val="21FE759C"/>
    <w:rsid w:val="23E06A66"/>
    <w:rsid w:val="26B741BD"/>
    <w:rsid w:val="27466BCE"/>
    <w:rsid w:val="28BC5ABB"/>
    <w:rsid w:val="28ED2118"/>
    <w:rsid w:val="29BF056F"/>
    <w:rsid w:val="2AA42CAA"/>
    <w:rsid w:val="2B5100A3"/>
    <w:rsid w:val="2FF7533D"/>
    <w:rsid w:val="30A2221B"/>
    <w:rsid w:val="31794DFA"/>
    <w:rsid w:val="323808A8"/>
    <w:rsid w:val="33462B51"/>
    <w:rsid w:val="33F91862"/>
    <w:rsid w:val="341976F0"/>
    <w:rsid w:val="34580D8D"/>
    <w:rsid w:val="34B122BF"/>
    <w:rsid w:val="35D52929"/>
    <w:rsid w:val="36216B91"/>
    <w:rsid w:val="37F74639"/>
    <w:rsid w:val="38DC1909"/>
    <w:rsid w:val="3A9076D0"/>
    <w:rsid w:val="3AF64E5C"/>
    <w:rsid w:val="3D8A3F3A"/>
    <w:rsid w:val="3E2A08EC"/>
    <w:rsid w:val="3F2223D8"/>
    <w:rsid w:val="3F4F4E20"/>
    <w:rsid w:val="3FC3645E"/>
    <w:rsid w:val="40416B7A"/>
    <w:rsid w:val="41FD2F74"/>
    <w:rsid w:val="4227290A"/>
    <w:rsid w:val="439B2A45"/>
    <w:rsid w:val="43F332AD"/>
    <w:rsid w:val="453B65AE"/>
    <w:rsid w:val="476D46F8"/>
    <w:rsid w:val="494036AB"/>
    <w:rsid w:val="4C854292"/>
    <w:rsid w:val="4CF3569F"/>
    <w:rsid w:val="4DE3517A"/>
    <w:rsid w:val="52C37239"/>
    <w:rsid w:val="545008D4"/>
    <w:rsid w:val="54AB1879"/>
    <w:rsid w:val="552B57D3"/>
    <w:rsid w:val="560E1308"/>
    <w:rsid w:val="592C6799"/>
    <w:rsid w:val="5A20384C"/>
    <w:rsid w:val="5AB5705B"/>
    <w:rsid w:val="5D867E6A"/>
    <w:rsid w:val="5F1D65AC"/>
    <w:rsid w:val="5FB452AB"/>
    <w:rsid w:val="60115FD4"/>
    <w:rsid w:val="63C00D86"/>
    <w:rsid w:val="64994DA3"/>
    <w:rsid w:val="6602228F"/>
    <w:rsid w:val="68662D72"/>
    <w:rsid w:val="6BB67779"/>
    <w:rsid w:val="71C817CE"/>
    <w:rsid w:val="721D7345"/>
    <w:rsid w:val="726E005E"/>
    <w:rsid w:val="73EA2AA9"/>
    <w:rsid w:val="7443040B"/>
    <w:rsid w:val="768D3D28"/>
    <w:rsid w:val="77610D34"/>
    <w:rsid w:val="788259A6"/>
    <w:rsid w:val="7ABB667D"/>
    <w:rsid w:val="7BD10EA5"/>
    <w:rsid w:val="7C617A77"/>
    <w:rsid w:val="7D974CFD"/>
    <w:rsid w:val="7E474D40"/>
    <w:rsid w:val="7E9F26E2"/>
    <w:rsid w:val="7F4A3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7B345DF4-F0FB-4855-8C25-B3669AA8B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 w:qFormat="1"/>
    <w:lsdException w:name="header" w:uiPriority="0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等线" w:eastAsia="等线" w:hAnsi="等线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unhideWhenUsed/>
    <w:qFormat/>
    <w:pPr>
      <w:jc w:val="left"/>
      <w:pPrChange w:id="0" w:author="luoqun123456@outlook.com" w:date="2024-04-15T10:57:00Z">
        <w:pPr>
          <w:widowControl w:val="0"/>
        </w:pPr>
      </w:pPrChange>
    </w:pPr>
    <w:rPr>
      <w:rPrChange w:id="0" w:author="luoqun123456@outlook.com" w:date="2024-04-15T10:57:00Z">
        <w:rPr>
          <w:rFonts w:ascii="等线" w:eastAsia="等线" w:hAnsi="等线"/>
          <w:kern w:val="2"/>
          <w:sz w:val="21"/>
          <w:szCs w:val="22"/>
          <w:lang w:val="en-US" w:eastAsia="zh-CN" w:bidi="ar-SA"/>
        </w:rPr>
      </w:rPrChange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5">
    <w:name w:val="header"/>
    <w:basedOn w:val="a"/>
    <w:link w:val="Char1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Subtitle"/>
    <w:basedOn w:val="a"/>
    <w:next w:val="a"/>
    <w:link w:val="Char2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Title"/>
    <w:basedOn w:val="a"/>
    <w:next w:val="a"/>
    <w:link w:val="Char3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8">
    <w:name w:val="annotation subject"/>
    <w:basedOn w:val="a3"/>
    <w:next w:val="a3"/>
    <w:link w:val="Char4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Emphasis"/>
    <w:basedOn w:val="a0"/>
    <w:uiPriority w:val="20"/>
    <w:qFormat/>
    <w:rPr>
      <w:i/>
      <w:iCs/>
    </w:rPr>
  </w:style>
  <w:style w:type="character" w:styleId="ab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styleId="ac">
    <w:name w:val="List Paragraph"/>
    <w:basedOn w:val="a"/>
    <w:uiPriority w:val="99"/>
    <w:qFormat/>
    <w:pPr>
      <w:contextualSpacing/>
    </w:pPr>
  </w:style>
  <w:style w:type="character" w:customStyle="1" w:styleId="1Char">
    <w:name w:val="标题 1 Char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Char">
    <w:name w:val="标题 2 Char"/>
    <w:basedOn w:val="a0"/>
    <w:link w:val="2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Char">
    <w:name w:val="标题 4 Char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Char">
    <w:name w:val="标题 5 Char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Char">
    <w:name w:val="标题 6 Char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Char">
    <w:name w:val="标题 7 Char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Char">
    <w:name w:val="标题 8 Char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Char">
    <w:name w:val="标题 9 Char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Char3">
    <w:name w:val="标题 Char"/>
    <w:basedOn w:val="a0"/>
    <w:link w:val="a7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2">
    <w:name w:val="副标题 Char"/>
    <w:basedOn w:val="a0"/>
    <w:link w:val="a6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Quote"/>
    <w:basedOn w:val="a"/>
    <w:next w:val="a"/>
    <w:link w:val="Char5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5">
    <w:name w:val="引用 Char"/>
    <w:basedOn w:val="a0"/>
    <w:link w:val="ad"/>
    <w:uiPriority w:val="29"/>
    <w:qFormat/>
    <w:rPr>
      <w:i/>
      <w:iCs/>
      <w:color w:val="404040" w:themeColor="text1" w:themeTint="BF"/>
    </w:rPr>
  </w:style>
  <w:style w:type="character" w:customStyle="1" w:styleId="10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Char6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6">
    <w:name w:val="明显引用 Char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1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font31">
    <w:name w:val="font31"/>
    <w:basedOn w:val="a0"/>
    <w:qFormat/>
    <w:rPr>
      <w:rFonts w:ascii="Arial" w:hAnsi="Arial" w:cs="Arial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方正仿宋_GBK" w:eastAsia="方正仿宋_GBK" w:hAnsi="方正仿宋_GBK" w:cs="方正仿宋_GBK" w:hint="eastAsia"/>
      <w:color w:val="000000"/>
      <w:sz w:val="20"/>
      <w:szCs w:val="20"/>
      <w:u w:val="none"/>
    </w:rPr>
  </w:style>
  <w:style w:type="character" w:customStyle="1" w:styleId="font41">
    <w:name w:val="font41"/>
    <w:basedOn w:val="a0"/>
    <w:qFormat/>
    <w:rPr>
      <w:rFonts w:ascii="方正仿宋_GBK" w:eastAsia="方正仿宋_GBK" w:hAnsi="方正仿宋_GBK" w:cs="方正仿宋_GBK" w:hint="eastAsia"/>
      <w:color w:val="333333"/>
      <w:sz w:val="20"/>
      <w:szCs w:val="20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333333"/>
      <w:sz w:val="20"/>
      <w:szCs w:val="20"/>
      <w:u w:val="none"/>
    </w:rPr>
  </w:style>
  <w:style w:type="character" w:customStyle="1" w:styleId="Char">
    <w:name w:val="批注文字 Char"/>
    <w:basedOn w:val="a0"/>
    <w:link w:val="a3"/>
    <w:uiPriority w:val="99"/>
    <w:qFormat/>
    <w:rPr>
      <w:rFonts w:ascii="等线" w:eastAsia="等线" w:hAnsi="等线"/>
      <w:kern w:val="2"/>
      <w:sz w:val="21"/>
      <w:szCs w:val="22"/>
    </w:rPr>
  </w:style>
  <w:style w:type="character" w:customStyle="1" w:styleId="Char4">
    <w:name w:val="批注主题 Char"/>
    <w:basedOn w:val="Char"/>
    <w:link w:val="a8"/>
    <w:uiPriority w:val="99"/>
    <w:semiHidden/>
    <w:qFormat/>
    <w:rPr>
      <w:rFonts w:ascii="等线" w:eastAsia="等线" w:hAnsi="等线" w:cs="Times New Roman"/>
      <w:b/>
      <w:bCs/>
      <w:kern w:val="2"/>
      <w:sz w:val="21"/>
      <w:szCs w:val="22"/>
      <w14:ligatures w14:val="none"/>
    </w:rPr>
  </w:style>
  <w:style w:type="paragraph" w:customStyle="1" w:styleId="12">
    <w:name w:val="修订1"/>
    <w:hidden/>
    <w:uiPriority w:val="99"/>
    <w:unhideWhenUsed/>
    <w:qFormat/>
    <w:rPr>
      <w:rFonts w:ascii="等线" w:eastAsia="等线" w:hAnsi="等线"/>
      <w:kern w:val="2"/>
      <w:sz w:val="21"/>
      <w:szCs w:val="22"/>
    </w:rPr>
  </w:style>
  <w:style w:type="paragraph" w:customStyle="1" w:styleId="20">
    <w:name w:val="修订2"/>
    <w:hidden/>
    <w:uiPriority w:val="99"/>
    <w:unhideWhenUsed/>
    <w:qFormat/>
    <w:rPr>
      <w:rFonts w:ascii="等线" w:eastAsia="等线" w:hAnsi="等线"/>
      <w:kern w:val="2"/>
      <w:sz w:val="21"/>
      <w:szCs w:val="22"/>
    </w:rPr>
  </w:style>
  <w:style w:type="paragraph" w:customStyle="1" w:styleId="30">
    <w:name w:val="修订3"/>
    <w:hidden/>
    <w:uiPriority w:val="99"/>
    <w:unhideWhenUsed/>
    <w:qFormat/>
    <w:rPr>
      <w:rFonts w:ascii="等线" w:eastAsia="等线" w:hAnsi="等线"/>
      <w:kern w:val="2"/>
      <w:sz w:val="21"/>
      <w:szCs w:val="22"/>
    </w:rPr>
  </w:style>
  <w:style w:type="paragraph" w:customStyle="1" w:styleId="40">
    <w:name w:val="修订4"/>
    <w:hidden/>
    <w:uiPriority w:val="99"/>
    <w:unhideWhenUsed/>
    <w:qFormat/>
    <w:rPr>
      <w:rFonts w:ascii="等线" w:eastAsia="等线" w:hAnsi="等线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8ECCC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436</Words>
  <Characters>2491</Characters>
  <Application>Microsoft Office Word</Application>
  <DocSecurity>8</DocSecurity>
  <Lines>20</Lines>
  <Paragraphs>5</Paragraphs>
  <ScaleCrop>false</ScaleCrop>
  <Company>LGGWH&amp;NHXCZ;</Company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Ivy U</dc:creator>
  <cp:lastModifiedBy>lenovo</cp:lastModifiedBy>
  <cp:revision>4</cp:revision>
  <dcterms:created xsi:type="dcterms:W3CDTF">2024-04-15T10:31:00Z</dcterms:created>
  <dcterms:modified xsi:type="dcterms:W3CDTF">2024-05-16T19:35:00Z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D98ADED44E794C939F2EE5B20AD6F817_13</vt:lpwstr>
  </property>
</Properties>
</file>